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8FF"/>
  <w:body>
    <w:p w14:paraId="3778E192" w14:textId="77777777" w:rsidR="00CA2E3C" w:rsidRDefault="00557EC2">
      <w:pPr>
        <w:jc w:val="center"/>
        <w:rPr>
          <w:rFonts w:asciiTheme="minorHAnsi" w:hAnsiTheme="minorHAnsi" w:cstheme="minorHAnsi"/>
          <w:sz w:val="32"/>
          <w:szCs w:val="36"/>
          <w:lang w:val="en-AU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CCDB9F5" wp14:editId="3B63C6F8">
            <wp:simplePos x="0" y="0"/>
            <wp:positionH relativeFrom="column">
              <wp:posOffset>-2540</wp:posOffset>
            </wp:positionH>
            <wp:positionV relativeFrom="paragraph">
              <wp:posOffset>-530225</wp:posOffset>
            </wp:positionV>
            <wp:extent cx="2466975" cy="621030"/>
            <wp:effectExtent l="0" t="0" r="0" b="0"/>
            <wp:wrapNone/>
            <wp:docPr id="3" name="Picture 3" descr="C:\Users\Laurie Perry\Documents\Projects\CompTIA Project+\images\GCCG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ie Perry\Documents\Projects\CompTIA Project+\images\GCCG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28165" w14:textId="77777777" w:rsidR="00CA2E3C" w:rsidRPr="00CA2E3C" w:rsidRDefault="00CA2E3C">
      <w:pPr>
        <w:jc w:val="center"/>
        <w:rPr>
          <w:rFonts w:asciiTheme="minorHAnsi" w:hAnsiTheme="minorHAnsi" w:cstheme="minorHAnsi"/>
          <w:sz w:val="32"/>
          <w:szCs w:val="36"/>
          <w:lang w:val="en-AU"/>
        </w:rPr>
      </w:pPr>
    </w:p>
    <w:p w14:paraId="4ADAD3FC" w14:textId="77777777" w:rsidR="00B97F9F" w:rsidRPr="00CA2E3C" w:rsidRDefault="00B97F9F">
      <w:pPr>
        <w:jc w:val="center"/>
        <w:rPr>
          <w:rFonts w:ascii="Arial" w:hAnsi="Arial"/>
          <w:b/>
          <w:sz w:val="28"/>
          <w:szCs w:val="36"/>
          <w:lang w:val="en-AU"/>
        </w:rPr>
      </w:pPr>
      <w:r w:rsidRPr="00CA2E3C">
        <w:rPr>
          <w:rFonts w:ascii="Arial" w:hAnsi="Arial"/>
          <w:b/>
          <w:sz w:val="28"/>
          <w:szCs w:val="36"/>
          <w:lang w:val="en-AU"/>
        </w:rPr>
        <w:t>GC</w:t>
      </w:r>
      <w:r w:rsidR="00CA2E3C" w:rsidRPr="00CA2E3C">
        <w:rPr>
          <w:rFonts w:ascii="Arial" w:hAnsi="Arial"/>
          <w:b/>
          <w:sz w:val="28"/>
          <w:szCs w:val="36"/>
          <w:lang w:val="en-AU"/>
        </w:rPr>
        <w:t>CG e</w:t>
      </w:r>
      <w:r w:rsidRPr="00CA2E3C">
        <w:rPr>
          <w:rFonts w:ascii="Arial" w:hAnsi="Arial"/>
          <w:b/>
          <w:sz w:val="28"/>
          <w:szCs w:val="36"/>
          <w:lang w:val="en-AU"/>
        </w:rPr>
        <w:t>-</w:t>
      </w:r>
      <w:r w:rsidR="00CA2E3C" w:rsidRPr="00CA2E3C">
        <w:rPr>
          <w:rFonts w:ascii="Arial" w:hAnsi="Arial"/>
          <w:b/>
          <w:sz w:val="28"/>
          <w:szCs w:val="36"/>
          <w:lang w:val="en-AU"/>
        </w:rPr>
        <w:t>B</w:t>
      </w:r>
      <w:r w:rsidRPr="00CA2E3C">
        <w:rPr>
          <w:rFonts w:ascii="Arial" w:hAnsi="Arial"/>
          <w:b/>
          <w:sz w:val="28"/>
          <w:szCs w:val="36"/>
          <w:lang w:val="en-AU"/>
        </w:rPr>
        <w:t>anking Portal</w:t>
      </w:r>
    </w:p>
    <w:p w14:paraId="480351A6" w14:textId="77777777" w:rsidR="00B97F9F" w:rsidRPr="00CA2E3C" w:rsidRDefault="00B97F9F">
      <w:pPr>
        <w:jc w:val="center"/>
        <w:rPr>
          <w:rFonts w:ascii="Arial" w:hAnsi="Arial"/>
          <w:b/>
          <w:sz w:val="28"/>
          <w:szCs w:val="36"/>
          <w:lang w:val="en-AU"/>
        </w:rPr>
      </w:pPr>
      <w:r w:rsidRPr="00CA2E3C">
        <w:rPr>
          <w:rFonts w:ascii="Arial" w:hAnsi="Arial"/>
          <w:b/>
          <w:sz w:val="28"/>
          <w:szCs w:val="36"/>
          <w:lang w:val="en-AU"/>
        </w:rPr>
        <w:t>Risk Management Plan</w:t>
      </w:r>
    </w:p>
    <w:p w14:paraId="426024BF" w14:textId="77777777" w:rsidR="00B97F9F" w:rsidRDefault="00B97F9F">
      <w:pPr>
        <w:jc w:val="center"/>
        <w:rPr>
          <w:rFonts w:ascii="Arial" w:hAnsi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30"/>
        <w:gridCol w:w="7125"/>
      </w:tblGrid>
      <w:tr w:rsidR="00B97F9F" w14:paraId="5697E0E8" w14:textId="77777777">
        <w:trPr>
          <w:cantSplit/>
        </w:trPr>
        <w:tc>
          <w:tcPr>
            <w:tcW w:w="24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D6E8C40" w14:textId="77777777" w:rsidR="00B97F9F" w:rsidRDefault="00B97F9F">
            <w:pPr>
              <w:spacing w:before="60" w:after="6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Prepared by:</w:t>
            </w:r>
          </w:p>
        </w:tc>
        <w:tc>
          <w:tcPr>
            <w:tcW w:w="71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075D6D" w14:textId="77777777" w:rsidR="00B97F9F" w:rsidRDefault="00B97F9F">
            <w:pPr>
              <w:spacing w:before="60" w:after="60"/>
              <w:rPr>
                <w:rFonts w:ascii="Arial" w:hAnsi="Arial"/>
                <w:i/>
                <w:sz w:val="22"/>
                <w:szCs w:val="22"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&lt;Student name&gt;</w:t>
            </w:r>
          </w:p>
        </w:tc>
      </w:tr>
      <w:tr w:rsidR="00B97F9F" w14:paraId="39F2361F" w14:textId="77777777">
        <w:trPr>
          <w:cantSplit/>
        </w:trPr>
        <w:tc>
          <w:tcPr>
            <w:tcW w:w="24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B9C1AF8" w14:textId="77777777" w:rsidR="00B97F9F" w:rsidRDefault="00B97F9F">
            <w:pPr>
              <w:spacing w:before="60" w:after="60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Date (MM/DD/YYYY):</w:t>
            </w:r>
          </w:p>
        </w:tc>
        <w:tc>
          <w:tcPr>
            <w:tcW w:w="71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C36B24" w14:textId="77777777" w:rsidR="00B97F9F" w:rsidRDefault="00B97F9F">
            <w:pPr>
              <w:spacing w:before="60" w:after="60"/>
              <w:rPr>
                <w:rFonts w:ascii="Arial" w:hAnsi="Arial"/>
                <w:i/>
                <w:sz w:val="22"/>
                <w:szCs w:val="22"/>
              </w:rPr>
            </w:pPr>
            <w:r>
              <w:rPr>
                <w:rFonts w:ascii="Arial" w:hAnsi="Arial"/>
                <w:i/>
                <w:sz w:val="22"/>
                <w:szCs w:val="22"/>
              </w:rPr>
              <w:t>&lt;Today’s date&gt;</w:t>
            </w:r>
          </w:p>
        </w:tc>
      </w:tr>
    </w:tbl>
    <w:p w14:paraId="1C130846" w14:textId="77777777" w:rsidR="00B97F9F" w:rsidRDefault="00B97F9F">
      <w:pPr>
        <w:rPr>
          <w:rFonts w:ascii="Arial" w:hAnsi="Arial"/>
          <w:b/>
          <w:sz w:val="22"/>
          <w:szCs w:val="22"/>
          <w:lang w:val="en-AU"/>
        </w:rPr>
      </w:pPr>
    </w:p>
    <w:p w14:paraId="21312412" w14:textId="77777777" w:rsidR="00B97F9F" w:rsidRDefault="00B97F9F">
      <w:pPr>
        <w:ind w:left="90"/>
        <w:rPr>
          <w:rFonts w:ascii="Arial" w:hAnsi="Arial"/>
          <w:b/>
          <w:sz w:val="22"/>
          <w:szCs w:val="22"/>
          <w:lang w:val="en-AU"/>
        </w:rPr>
      </w:pPr>
    </w:p>
    <w:p w14:paraId="75419AAE" w14:textId="77777777" w:rsidR="00B97F9F" w:rsidRDefault="00B97F9F">
      <w:pPr>
        <w:numPr>
          <w:ilvl w:val="0"/>
          <w:numId w:val="1"/>
        </w:numPr>
        <w:tabs>
          <w:tab w:val="left" w:pos="810"/>
        </w:tabs>
        <w:ind w:left="720"/>
        <w:rPr>
          <w:rFonts w:ascii="Arial" w:hAnsi="Arial"/>
          <w:b/>
          <w:sz w:val="22"/>
          <w:szCs w:val="22"/>
          <w:lang w:val="en-AU"/>
        </w:rPr>
      </w:pPr>
      <w:r>
        <w:rPr>
          <w:rFonts w:ascii="Arial" w:hAnsi="Arial"/>
          <w:b/>
          <w:sz w:val="22"/>
          <w:szCs w:val="22"/>
          <w:lang w:val="en-AU"/>
        </w:rPr>
        <w:t>Methodology</w:t>
      </w:r>
    </w:p>
    <w:p w14:paraId="70D804BC" w14:textId="77777777" w:rsidR="00B97F9F" w:rsidRDefault="00B97F9F">
      <w:pPr>
        <w:ind w:left="360"/>
        <w:rPr>
          <w:rFonts w:ascii="Arial" w:hAnsi="Arial"/>
          <w:b/>
          <w:sz w:val="22"/>
          <w:szCs w:val="22"/>
          <w:lang w:val="en-AU"/>
        </w:rPr>
      </w:pPr>
    </w:p>
    <w:p w14:paraId="2A3AA67F" w14:textId="327975B1" w:rsidR="00B97F9F" w:rsidRDefault="00B97F9F">
      <w:pPr>
        <w:ind w:left="720" w:hanging="720"/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b/>
          <w:sz w:val="22"/>
          <w:szCs w:val="22"/>
          <w:lang w:val="en-AU"/>
        </w:rPr>
        <w:tab/>
      </w:r>
      <w:r>
        <w:rPr>
          <w:rFonts w:ascii="Arial" w:hAnsi="Arial"/>
          <w:sz w:val="22"/>
          <w:szCs w:val="22"/>
          <w:lang w:val="en-AU"/>
        </w:rPr>
        <w:t xml:space="preserve">The major processes followed in risk management </w:t>
      </w:r>
      <w:r w:rsidR="00444730">
        <w:rPr>
          <w:rFonts w:ascii="Arial" w:hAnsi="Arial"/>
          <w:sz w:val="22"/>
          <w:szCs w:val="22"/>
          <w:lang w:val="en-AU"/>
        </w:rPr>
        <w:t xml:space="preserve">are </w:t>
      </w:r>
      <w:r>
        <w:rPr>
          <w:rFonts w:ascii="Arial" w:hAnsi="Arial"/>
          <w:sz w:val="22"/>
          <w:szCs w:val="22"/>
          <w:lang w:val="en-AU"/>
        </w:rPr>
        <w:t>risk identification, risk prioritization, risk response planning, and risk control.</w:t>
      </w:r>
    </w:p>
    <w:p w14:paraId="271215E7" w14:textId="77777777" w:rsidR="00557EC2" w:rsidRDefault="00557EC2">
      <w:pPr>
        <w:ind w:left="720" w:hanging="720"/>
        <w:rPr>
          <w:rFonts w:ascii="Arial" w:hAnsi="Arial"/>
          <w:sz w:val="22"/>
          <w:szCs w:val="22"/>
          <w:lang w:val="en-AU"/>
        </w:rPr>
      </w:pPr>
    </w:p>
    <w:p w14:paraId="7BDF087F" w14:textId="743E7C47" w:rsidR="00B97F9F" w:rsidRDefault="00B97F9F">
      <w:pPr>
        <w:ind w:left="720" w:hanging="720"/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ab/>
      </w:r>
      <w:r w:rsidR="00557EC2">
        <w:rPr>
          <w:rFonts w:ascii="Arial" w:hAnsi="Arial"/>
          <w:sz w:val="22"/>
          <w:szCs w:val="22"/>
          <w:lang w:val="en-AU"/>
        </w:rPr>
        <w:t>The e</w:t>
      </w:r>
      <w:r>
        <w:rPr>
          <w:rFonts w:ascii="Arial" w:hAnsi="Arial"/>
          <w:sz w:val="22"/>
          <w:szCs w:val="22"/>
          <w:lang w:val="en-AU"/>
        </w:rPr>
        <w:t xml:space="preserve">-Banking Portal project is </w:t>
      </w:r>
      <w:r w:rsidR="00444730">
        <w:rPr>
          <w:rFonts w:ascii="Arial" w:hAnsi="Arial"/>
          <w:sz w:val="22"/>
          <w:szCs w:val="22"/>
          <w:lang w:val="en-AU"/>
        </w:rPr>
        <w:t xml:space="preserve">a </w:t>
      </w:r>
      <w:r>
        <w:rPr>
          <w:rFonts w:ascii="Arial" w:hAnsi="Arial"/>
          <w:sz w:val="22"/>
          <w:szCs w:val="22"/>
          <w:lang w:val="en-AU"/>
        </w:rPr>
        <w:t>non-complex project and is not required to follow the quantitative risk analysis process.</w:t>
      </w:r>
    </w:p>
    <w:p w14:paraId="3655D837" w14:textId="77777777" w:rsidR="00B97F9F" w:rsidRDefault="00B97F9F">
      <w:pPr>
        <w:ind w:left="720"/>
        <w:rPr>
          <w:rFonts w:ascii="Arial" w:hAnsi="Arial"/>
          <w:sz w:val="22"/>
          <w:szCs w:val="22"/>
          <w:lang w:val="en-AU"/>
        </w:rPr>
      </w:pPr>
    </w:p>
    <w:p w14:paraId="165474FF" w14:textId="77777777" w:rsidR="00B97F9F" w:rsidRDefault="00B97F9F">
      <w:pPr>
        <w:numPr>
          <w:ilvl w:val="0"/>
          <w:numId w:val="4"/>
        </w:numPr>
        <w:rPr>
          <w:rFonts w:ascii="Arial" w:hAnsi="Arial"/>
          <w:b/>
          <w:sz w:val="22"/>
          <w:szCs w:val="22"/>
          <w:lang w:val="en-AU"/>
        </w:rPr>
      </w:pPr>
      <w:r>
        <w:rPr>
          <w:rFonts w:ascii="Arial" w:hAnsi="Arial"/>
          <w:b/>
          <w:sz w:val="22"/>
          <w:szCs w:val="22"/>
          <w:lang w:val="en-AU"/>
        </w:rPr>
        <w:t>The format and scales for the risk register</w:t>
      </w:r>
    </w:p>
    <w:p w14:paraId="41192B43" w14:textId="77777777" w:rsidR="00B97F9F" w:rsidRDefault="00B97F9F">
      <w:pPr>
        <w:ind w:left="360"/>
        <w:rPr>
          <w:rFonts w:ascii="Arial" w:hAnsi="Arial"/>
          <w:b/>
          <w:sz w:val="22"/>
          <w:szCs w:val="22"/>
          <w:lang w:val="en-AU"/>
        </w:rPr>
      </w:pPr>
    </w:p>
    <w:tbl>
      <w:tblPr>
        <w:tblW w:w="1057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990"/>
        <w:gridCol w:w="1350"/>
        <w:gridCol w:w="1260"/>
        <w:gridCol w:w="1246"/>
        <w:gridCol w:w="1004"/>
        <w:gridCol w:w="990"/>
        <w:gridCol w:w="900"/>
        <w:gridCol w:w="1100"/>
        <w:gridCol w:w="1087"/>
      </w:tblGrid>
      <w:tr w:rsidR="00B97F9F" w14:paraId="4871C3DC" w14:textId="77777777" w:rsidTr="006269B8">
        <w:trPr>
          <w:cantSplit/>
        </w:trPr>
        <w:tc>
          <w:tcPr>
            <w:tcW w:w="6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D9D6DE5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Risk No.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B8DF21D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Category</w:t>
            </w:r>
          </w:p>
        </w:tc>
        <w:tc>
          <w:tcPr>
            <w:tcW w:w="13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8E0932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Risk Event (Uncertainty)</w:t>
            </w:r>
          </w:p>
        </w:tc>
        <w:tc>
          <w:tcPr>
            <w:tcW w:w="12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0381A7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Probability of Occurrence (0.1-0.3-0.</w:t>
            </w:r>
            <w:r w:rsidR="007C4D14">
              <w:rPr>
                <w:rFonts w:ascii="Arial" w:hAnsi="Arial"/>
                <w:b/>
                <w:sz w:val="17"/>
                <w:szCs w:val="17"/>
                <w:lang w:val="en-AU"/>
              </w:rPr>
              <w:t>5</w:t>
            </w: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-0.7-0.9)</w:t>
            </w:r>
          </w:p>
        </w:tc>
        <w:tc>
          <w:tcPr>
            <w:tcW w:w="12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91D03D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Detectability</w:t>
            </w:r>
          </w:p>
        </w:tc>
        <w:tc>
          <w:tcPr>
            <w:tcW w:w="10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EE95A4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Symptom</w:t>
            </w:r>
          </w:p>
        </w:tc>
        <w:tc>
          <w:tcPr>
            <w:tcW w:w="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EF9A7B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Urgency (H- =&lt;7</w:t>
            </w:r>
          </w:p>
          <w:p w14:paraId="72063BB8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M- 7-21 D</w:t>
            </w:r>
          </w:p>
          <w:p w14:paraId="742DF648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L-21 +)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24E0C7D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Impact on Time (0.05-0.10-0.20-0.40-0.80)</w:t>
            </w:r>
          </w:p>
        </w:tc>
        <w:tc>
          <w:tcPr>
            <w:tcW w:w="11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741D348" w14:textId="77777777" w:rsidR="00B97F9F" w:rsidRDefault="00B97F9F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>Risk Exposure - time</w:t>
            </w:r>
          </w:p>
        </w:tc>
        <w:tc>
          <w:tcPr>
            <w:tcW w:w="10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5329A7" w14:textId="481D2AE0" w:rsidR="00B97F9F" w:rsidRDefault="00B97F9F" w:rsidP="00ED6C23">
            <w:pPr>
              <w:jc w:val="center"/>
              <w:rPr>
                <w:rFonts w:ascii="Arial" w:hAnsi="Arial"/>
                <w:b/>
                <w:sz w:val="17"/>
                <w:szCs w:val="17"/>
                <w:lang w:val="en-AU"/>
              </w:rPr>
            </w:pPr>
            <w:r>
              <w:rPr>
                <w:rFonts w:ascii="Arial" w:hAnsi="Arial"/>
                <w:b/>
                <w:sz w:val="17"/>
                <w:szCs w:val="17"/>
                <w:lang w:val="en-AU"/>
              </w:rPr>
              <w:t xml:space="preserve">Response </w:t>
            </w:r>
          </w:p>
        </w:tc>
      </w:tr>
      <w:tr w:rsidR="00B97F9F" w14:paraId="671A9668" w14:textId="77777777" w:rsidTr="006269B8">
        <w:trPr>
          <w:cantSplit/>
        </w:trPr>
        <w:tc>
          <w:tcPr>
            <w:tcW w:w="648" w:type="dxa"/>
            <w:tcBorders>
              <w:left w:val="single" w:sz="1" w:space="0" w:color="000000"/>
              <w:bottom w:val="single" w:sz="1" w:space="0" w:color="000000"/>
            </w:tcBorders>
          </w:tcPr>
          <w:p w14:paraId="4F73A0B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</w:tcPr>
          <w:p w14:paraId="21EA805A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</w:tcPr>
          <w:p w14:paraId="3C4AC2A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</w:tcPr>
          <w:p w14:paraId="1B1B59B7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034D866B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</w:tcBorders>
          </w:tcPr>
          <w:p w14:paraId="502A6E8B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</w:tcPr>
          <w:p w14:paraId="06DFA2C5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4C7402A2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100" w:type="dxa"/>
            <w:tcBorders>
              <w:left w:val="single" w:sz="1" w:space="0" w:color="000000"/>
              <w:bottom w:val="single" w:sz="1" w:space="0" w:color="000000"/>
            </w:tcBorders>
          </w:tcPr>
          <w:p w14:paraId="1995DAF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FF0975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</w:tr>
      <w:tr w:rsidR="00B97F9F" w14:paraId="29AD20C3" w14:textId="77777777" w:rsidTr="006269B8">
        <w:trPr>
          <w:cantSplit/>
        </w:trPr>
        <w:tc>
          <w:tcPr>
            <w:tcW w:w="648" w:type="dxa"/>
            <w:tcBorders>
              <w:left w:val="single" w:sz="1" w:space="0" w:color="000000"/>
              <w:bottom w:val="single" w:sz="1" w:space="0" w:color="000000"/>
            </w:tcBorders>
          </w:tcPr>
          <w:p w14:paraId="020909DF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</w:tcPr>
          <w:p w14:paraId="2FCC6DA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350" w:type="dxa"/>
            <w:tcBorders>
              <w:left w:val="single" w:sz="1" w:space="0" w:color="000000"/>
              <w:bottom w:val="single" w:sz="1" w:space="0" w:color="000000"/>
            </w:tcBorders>
          </w:tcPr>
          <w:p w14:paraId="5098727F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260" w:type="dxa"/>
            <w:tcBorders>
              <w:left w:val="single" w:sz="1" w:space="0" w:color="000000"/>
              <w:bottom w:val="single" w:sz="1" w:space="0" w:color="000000"/>
            </w:tcBorders>
          </w:tcPr>
          <w:p w14:paraId="036D4B28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246" w:type="dxa"/>
            <w:tcBorders>
              <w:left w:val="single" w:sz="1" w:space="0" w:color="000000"/>
              <w:bottom w:val="single" w:sz="1" w:space="0" w:color="000000"/>
            </w:tcBorders>
          </w:tcPr>
          <w:p w14:paraId="12E8E8EB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004" w:type="dxa"/>
            <w:tcBorders>
              <w:left w:val="single" w:sz="1" w:space="0" w:color="000000"/>
              <w:bottom w:val="single" w:sz="1" w:space="0" w:color="000000"/>
            </w:tcBorders>
          </w:tcPr>
          <w:p w14:paraId="0C3C395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90" w:type="dxa"/>
            <w:tcBorders>
              <w:left w:val="single" w:sz="1" w:space="0" w:color="000000"/>
              <w:bottom w:val="single" w:sz="1" w:space="0" w:color="000000"/>
            </w:tcBorders>
          </w:tcPr>
          <w:p w14:paraId="7D719540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900" w:type="dxa"/>
            <w:tcBorders>
              <w:left w:val="single" w:sz="1" w:space="0" w:color="000000"/>
              <w:bottom w:val="single" w:sz="1" w:space="0" w:color="000000"/>
            </w:tcBorders>
          </w:tcPr>
          <w:p w14:paraId="0977AABE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100" w:type="dxa"/>
            <w:tcBorders>
              <w:left w:val="single" w:sz="1" w:space="0" w:color="000000"/>
              <w:bottom w:val="single" w:sz="1" w:space="0" w:color="000000"/>
            </w:tcBorders>
          </w:tcPr>
          <w:p w14:paraId="4EDE037B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  <w:tc>
          <w:tcPr>
            <w:tcW w:w="10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3851F6" w14:textId="77777777" w:rsidR="00B97F9F" w:rsidRDefault="00B97F9F">
            <w:pPr>
              <w:rPr>
                <w:rFonts w:ascii="Arial" w:hAnsi="Arial"/>
                <w:b/>
                <w:sz w:val="20"/>
                <w:lang w:val="en-AU"/>
              </w:rPr>
            </w:pPr>
          </w:p>
        </w:tc>
      </w:tr>
    </w:tbl>
    <w:p w14:paraId="71CE9CDF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1629CA45" w14:textId="77777777" w:rsidR="00B97F9F" w:rsidRDefault="00B97F9F">
      <w:pPr>
        <w:ind w:left="720" w:hanging="720"/>
        <w:rPr>
          <w:rFonts w:ascii="Arial" w:hAnsi="Arial"/>
          <w:sz w:val="22"/>
          <w:szCs w:val="22"/>
          <w:lang w:val="en-AU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18"/>
        <w:gridCol w:w="7570"/>
      </w:tblGrid>
      <w:tr w:rsidR="00B97F9F" w14:paraId="239D39F7" w14:textId="77777777">
        <w:trPr>
          <w:cantSplit/>
          <w:jc w:val="center"/>
        </w:trPr>
        <w:tc>
          <w:tcPr>
            <w:tcW w:w="1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C416A85" w14:textId="77777777" w:rsidR="00B97F9F" w:rsidRDefault="00B97F9F">
            <w:pPr>
              <w:rPr>
                <w:rFonts w:ascii="Arial" w:hAnsi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/>
                <w:b/>
                <w:sz w:val="22"/>
                <w:szCs w:val="22"/>
                <w:lang w:val="en-AU"/>
              </w:rPr>
              <w:t>Column</w:t>
            </w:r>
          </w:p>
        </w:tc>
        <w:tc>
          <w:tcPr>
            <w:tcW w:w="75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045A9" w14:textId="77777777" w:rsidR="00B97F9F" w:rsidRDefault="00B97F9F">
            <w:pPr>
              <w:ind w:left="720" w:hanging="720"/>
              <w:rPr>
                <w:rFonts w:ascii="Arial" w:hAnsi="Arial"/>
                <w:b/>
                <w:sz w:val="22"/>
                <w:szCs w:val="22"/>
                <w:lang w:val="en-AU"/>
              </w:rPr>
            </w:pPr>
            <w:r>
              <w:rPr>
                <w:rFonts w:ascii="Arial" w:hAnsi="Arial"/>
                <w:b/>
                <w:sz w:val="22"/>
                <w:szCs w:val="22"/>
                <w:lang w:val="en-AU"/>
              </w:rPr>
              <w:t>Description</w:t>
            </w:r>
          </w:p>
        </w:tc>
      </w:tr>
      <w:tr w:rsidR="00B97F9F" w14:paraId="036E4DBA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61C57CD7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Risk No.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32236" w14:textId="70391B51" w:rsidR="00B97F9F" w:rsidRDefault="00B97F9F">
            <w:pPr>
              <w:ind w:left="720" w:hanging="720"/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The risk number</w:t>
            </w:r>
            <w:r w:rsidR="00444730">
              <w:rPr>
                <w:rFonts w:ascii="Arial" w:hAnsi="Arial"/>
                <w:sz w:val="22"/>
                <w:szCs w:val="22"/>
                <w:lang w:val="en-AU"/>
              </w:rPr>
              <w:t xml:space="preserve">ing will be </w:t>
            </w:r>
            <w:r>
              <w:rPr>
                <w:rFonts w:ascii="Arial" w:hAnsi="Arial"/>
                <w:sz w:val="22"/>
                <w:szCs w:val="22"/>
                <w:lang w:val="en-AU"/>
              </w:rPr>
              <w:t>R-</w:t>
            </w:r>
            <w:r w:rsidRPr="00444730">
              <w:rPr>
                <w:rFonts w:ascii="Arial" w:hAnsi="Arial"/>
                <w:i/>
                <w:sz w:val="22"/>
                <w:szCs w:val="22"/>
                <w:lang w:val="en-AU"/>
              </w:rPr>
              <w:t>nnn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</w:t>
            </w:r>
          </w:p>
          <w:p w14:paraId="40547737" w14:textId="55629FD6" w:rsidR="00B97F9F" w:rsidRDefault="00B97F9F">
            <w:pPr>
              <w:ind w:left="720" w:hanging="720"/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e.g.</w:t>
            </w:r>
            <w:r w:rsidR="00010A6D">
              <w:rPr>
                <w:rFonts w:ascii="Arial" w:hAnsi="Arial"/>
                <w:sz w:val="22"/>
                <w:szCs w:val="22"/>
                <w:lang w:val="en-AU"/>
              </w:rPr>
              <w:t>,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R001, R002, etc.</w:t>
            </w:r>
          </w:p>
        </w:tc>
      </w:tr>
      <w:tr w:rsidR="00B97F9F" w14:paraId="52D99BEA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39A89CC1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Category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927D32" w14:textId="7ED333F5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Category to include: Technology, Data, Usability, Contractual obligations, </w:t>
            </w:r>
            <w:r w:rsidR="00010A6D">
              <w:rPr>
                <w:rFonts w:ascii="Arial" w:hAnsi="Arial"/>
                <w:sz w:val="22"/>
                <w:szCs w:val="22"/>
                <w:lang w:val="en-AU"/>
              </w:rPr>
              <w:t>I</w:t>
            </w:r>
            <w:r>
              <w:rPr>
                <w:rFonts w:ascii="Arial" w:hAnsi="Arial"/>
                <w:sz w:val="22"/>
                <w:szCs w:val="22"/>
                <w:lang w:val="en-AU"/>
              </w:rPr>
              <w:t>mplicit requirements/expectations, Vendors and partners, Process, People</w:t>
            </w:r>
          </w:p>
        </w:tc>
      </w:tr>
      <w:tr w:rsidR="00B97F9F" w14:paraId="527AB440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013F350E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Probability of Occurrence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313C7" w14:textId="0FA375AB" w:rsidR="00B97F9F" w:rsidRDefault="00B97F9F">
            <w:pPr>
              <w:tabs>
                <w:tab w:val="left" w:pos="0"/>
              </w:tabs>
              <w:jc w:val="both"/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Probability </w:t>
            </w:r>
            <w:r>
              <w:rPr>
                <w:rFonts w:ascii="Arial" w:hAnsi="Arial"/>
                <w:b/>
                <w:sz w:val="22"/>
                <w:szCs w:val="22"/>
                <w:lang w:val="en-AU"/>
              </w:rPr>
              <w:t>[P]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Scale used </w:t>
            </w:r>
            <w:r w:rsidR="00444730">
              <w:rPr>
                <w:rFonts w:ascii="Arial" w:hAnsi="Arial"/>
                <w:sz w:val="22"/>
                <w:szCs w:val="22"/>
                <w:lang w:val="en-AU"/>
              </w:rPr>
              <w:t>will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be 0.1, 0.3, 0.5, 0.7, and 0.9</w:t>
            </w:r>
          </w:p>
        </w:tc>
      </w:tr>
      <w:tr w:rsidR="00B97F9F" w14:paraId="08EF41F2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4861E37A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Detectability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608C32" w14:textId="2644AEB4" w:rsidR="00B97F9F" w:rsidRDefault="00B97F9F">
            <w:pPr>
              <w:ind w:left="720" w:hanging="720"/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Detectability </w:t>
            </w:r>
            <w:r>
              <w:rPr>
                <w:rFonts w:ascii="Arial" w:hAnsi="Arial"/>
                <w:b/>
                <w:sz w:val="22"/>
                <w:szCs w:val="22"/>
                <w:lang w:val="en-AU"/>
              </w:rPr>
              <w:t>[D]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is rated as Easy to detect 0.1 and Difficult to detect 0.7</w:t>
            </w:r>
          </w:p>
        </w:tc>
      </w:tr>
      <w:tr w:rsidR="00B97F9F" w14:paraId="6B6ECBFA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5DC1840E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Urgency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F3EE31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Urgency </w:t>
            </w:r>
            <w:r>
              <w:rPr>
                <w:rFonts w:ascii="Arial" w:hAnsi="Arial"/>
                <w:b/>
                <w:sz w:val="22"/>
                <w:szCs w:val="22"/>
                <w:lang w:val="en-AU"/>
              </w:rPr>
              <w:t>[U]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If necessary to be focused in the following ranges:</w:t>
            </w:r>
          </w:p>
          <w:p w14:paraId="2005B73A" w14:textId="7322BED7" w:rsidR="00B97F9F" w:rsidRDefault="00444730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=&lt; 7 days </w:t>
            </w:r>
            <w:r w:rsidR="00B97F9F">
              <w:rPr>
                <w:rFonts w:ascii="Arial" w:hAnsi="Arial"/>
                <w:sz w:val="22"/>
                <w:szCs w:val="22"/>
                <w:lang w:val="en-AU"/>
              </w:rPr>
              <w:t>implies High Urgency (Number 0.9)</w:t>
            </w:r>
          </w:p>
          <w:p w14:paraId="1652F55A" w14:textId="04A9BEA7" w:rsidR="00B97F9F" w:rsidRDefault="00B97F9F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Between 8 to 21 days implies Medium Urgency (Number 0.4)</w:t>
            </w:r>
          </w:p>
          <w:p w14:paraId="079B49E7" w14:textId="0107D34D" w:rsidR="00B97F9F" w:rsidRDefault="00444730">
            <w:pPr>
              <w:numPr>
                <w:ilvl w:val="0"/>
                <w:numId w:val="2"/>
              </w:num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More than 21 days </w:t>
            </w:r>
            <w:r w:rsidR="00B97F9F">
              <w:rPr>
                <w:rFonts w:ascii="Arial" w:hAnsi="Arial"/>
                <w:sz w:val="22"/>
                <w:szCs w:val="22"/>
                <w:lang w:val="en-AU"/>
              </w:rPr>
              <w:t>implies Low Urgency (Number 0.1)</w:t>
            </w:r>
          </w:p>
        </w:tc>
      </w:tr>
      <w:tr w:rsidR="00B97F9F" w14:paraId="2DA8A743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14942458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Impact on Time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42F473" w14:textId="2D36EA30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 xml:space="preserve">Impact </w:t>
            </w:r>
            <w:r>
              <w:rPr>
                <w:rFonts w:ascii="Arial" w:hAnsi="Arial"/>
                <w:b/>
                <w:sz w:val="22"/>
                <w:szCs w:val="22"/>
                <w:lang w:val="en-AU"/>
              </w:rPr>
              <w:t xml:space="preserve">[I] 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on the objective </w:t>
            </w:r>
            <w:r>
              <w:rPr>
                <w:rFonts w:ascii="Arial" w:hAnsi="Arial"/>
                <w:i/>
                <w:sz w:val="22"/>
                <w:szCs w:val="22"/>
                <w:lang w:val="en-AU"/>
              </w:rPr>
              <w:t>timely completion of the project</w:t>
            </w:r>
            <w:r>
              <w:rPr>
                <w:rFonts w:ascii="Arial" w:hAnsi="Arial"/>
                <w:sz w:val="22"/>
                <w:szCs w:val="22"/>
                <w:lang w:val="en-AU"/>
              </w:rPr>
              <w:t xml:space="preserve"> </w:t>
            </w:r>
            <w:r w:rsidR="00444730">
              <w:rPr>
                <w:rFonts w:ascii="Arial" w:hAnsi="Arial"/>
                <w:sz w:val="22"/>
                <w:szCs w:val="22"/>
                <w:lang w:val="en-AU"/>
              </w:rPr>
              <w:t xml:space="preserve">will </w:t>
            </w:r>
            <w:r>
              <w:rPr>
                <w:rFonts w:ascii="Arial" w:hAnsi="Arial"/>
                <w:sz w:val="22"/>
                <w:szCs w:val="22"/>
                <w:lang w:val="en-AU"/>
              </w:rPr>
              <w:t>be in the range scale of 0.05, 0.10, 0.20, 0.40 &amp; 0.80 to be used for the values respectively for the values 1, 2, 4, 6, 8 days expected schedule overrun.</w:t>
            </w:r>
          </w:p>
        </w:tc>
      </w:tr>
      <w:tr w:rsidR="00B97F9F" w14:paraId="44944D49" w14:textId="77777777">
        <w:trPr>
          <w:cantSplit/>
          <w:jc w:val="center"/>
        </w:trPr>
        <w:tc>
          <w:tcPr>
            <w:tcW w:w="1818" w:type="dxa"/>
            <w:tcBorders>
              <w:left w:val="single" w:sz="1" w:space="0" w:color="000000"/>
              <w:bottom w:val="single" w:sz="1" w:space="0" w:color="000000"/>
            </w:tcBorders>
          </w:tcPr>
          <w:p w14:paraId="3A2573C1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Risk Exposure - Time</w:t>
            </w:r>
          </w:p>
        </w:tc>
        <w:tc>
          <w:tcPr>
            <w:tcW w:w="75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D698B7" w14:textId="77777777" w:rsidR="00B97F9F" w:rsidRDefault="00B97F9F">
            <w:pPr>
              <w:ind w:left="720" w:hanging="720"/>
              <w:rPr>
                <w:rFonts w:ascii="Arial" w:hAnsi="Arial"/>
                <w:sz w:val="22"/>
                <w:szCs w:val="22"/>
                <w:lang w:val="en-AU"/>
              </w:rPr>
            </w:pPr>
            <w:r>
              <w:rPr>
                <w:rFonts w:ascii="Arial" w:hAnsi="Arial"/>
                <w:sz w:val="22"/>
                <w:szCs w:val="22"/>
                <w:lang w:val="en-AU"/>
              </w:rPr>
              <w:t>[P] * [I] * [D] * [U]</w:t>
            </w:r>
          </w:p>
          <w:p w14:paraId="48AD8A02" w14:textId="77777777" w:rsidR="00B97F9F" w:rsidRDefault="00B97F9F">
            <w:pPr>
              <w:rPr>
                <w:rFonts w:ascii="Arial" w:hAnsi="Arial"/>
                <w:sz w:val="22"/>
                <w:szCs w:val="22"/>
                <w:lang w:val="en-AU"/>
              </w:rPr>
            </w:pPr>
          </w:p>
        </w:tc>
      </w:tr>
    </w:tbl>
    <w:p w14:paraId="0865CC34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 xml:space="preserve"> </w:t>
      </w:r>
    </w:p>
    <w:p w14:paraId="4457A2D5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710EAB34" w14:textId="77777777" w:rsidR="00B97F9F" w:rsidRDefault="00CA2E3C" w:rsidP="00CA2E3C">
      <w:pPr>
        <w:rPr>
          <w:rFonts w:ascii="Arial" w:hAnsi="Arial"/>
          <w:b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br w:type="page"/>
      </w:r>
      <w:r w:rsidR="00B97F9F">
        <w:rPr>
          <w:rFonts w:ascii="Arial" w:hAnsi="Arial"/>
          <w:b/>
          <w:sz w:val="22"/>
          <w:szCs w:val="22"/>
          <w:lang w:val="en-AU"/>
        </w:rPr>
        <w:lastRenderedPageBreak/>
        <w:t>Probability and Impact Matrix</w:t>
      </w:r>
    </w:p>
    <w:p w14:paraId="5ACAE452" w14:textId="6768EEA9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3F98C062" w14:textId="38CC81FF" w:rsidR="000C2726" w:rsidRDefault="000C2726" w:rsidP="000C2726">
      <w:pPr>
        <w:jc w:val="center"/>
        <w:rPr>
          <w:rFonts w:ascii="Arial" w:hAnsi="Arial"/>
          <w:sz w:val="22"/>
          <w:szCs w:val="22"/>
          <w:lang w:val="en-AU"/>
        </w:rPr>
      </w:pPr>
      <w:r>
        <w:rPr>
          <w:noProof/>
          <w:lang w:eastAsia="en-US"/>
        </w:rPr>
        <w:drawing>
          <wp:inline distT="0" distB="0" distL="0" distR="0" wp14:anchorId="18A3D893" wp14:editId="1FF81AA5">
            <wp:extent cx="4452812" cy="32969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221" cy="33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F7E0" w14:textId="77777777" w:rsidR="00B97F9F" w:rsidRDefault="00B97F9F" w:rsidP="000C2726">
      <w:pPr>
        <w:ind w:left="720" w:hanging="720"/>
        <w:rPr>
          <w:rFonts w:ascii="Arial" w:hAnsi="Arial"/>
          <w:sz w:val="22"/>
          <w:szCs w:val="22"/>
          <w:lang w:val="en-AU"/>
        </w:rPr>
      </w:pPr>
    </w:p>
    <w:p w14:paraId="1367423E" w14:textId="77777777" w:rsidR="00B97F9F" w:rsidRDefault="00B97F9F">
      <w:pPr>
        <w:rPr>
          <w:rFonts w:ascii="Arial" w:hAnsi="Arial"/>
          <w:b/>
          <w:sz w:val="22"/>
          <w:szCs w:val="22"/>
          <w:lang w:val="en-AU"/>
        </w:rPr>
      </w:pPr>
      <w:r>
        <w:rPr>
          <w:rFonts w:ascii="Arial" w:hAnsi="Arial"/>
          <w:b/>
          <w:sz w:val="22"/>
          <w:szCs w:val="22"/>
          <w:lang w:val="en-AU"/>
        </w:rPr>
        <w:t>4.</w:t>
      </w:r>
      <w:r>
        <w:rPr>
          <w:rFonts w:ascii="Arial" w:hAnsi="Arial"/>
          <w:b/>
          <w:sz w:val="22"/>
          <w:szCs w:val="22"/>
          <w:lang w:val="en-AU"/>
        </w:rPr>
        <w:tab/>
        <w:t>Roles and Responsibilities</w:t>
      </w:r>
    </w:p>
    <w:p w14:paraId="7B64ED48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69EFDC2A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ab/>
        <w:t>4.1</w:t>
      </w:r>
      <w:r>
        <w:rPr>
          <w:rFonts w:ascii="Arial" w:hAnsi="Arial"/>
          <w:sz w:val="22"/>
          <w:szCs w:val="22"/>
          <w:lang w:val="en-AU"/>
        </w:rPr>
        <w:tab/>
        <w:t>Organization Risk Manager</w:t>
      </w:r>
    </w:p>
    <w:p w14:paraId="31DE1E96" w14:textId="77777777" w:rsidR="00B97F9F" w:rsidRDefault="00B97F9F">
      <w:pPr>
        <w:numPr>
          <w:ilvl w:val="0"/>
          <w:numId w:val="3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Assumes general oversight of risk management in the organization.</w:t>
      </w:r>
    </w:p>
    <w:p w14:paraId="3148267A" w14:textId="77777777" w:rsidR="00B97F9F" w:rsidRDefault="00B97F9F">
      <w:pPr>
        <w:ind w:left="720"/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4.2</w:t>
      </w:r>
      <w:r>
        <w:rPr>
          <w:rFonts w:ascii="Arial" w:hAnsi="Arial"/>
          <w:sz w:val="22"/>
          <w:szCs w:val="22"/>
          <w:lang w:val="en-AU"/>
        </w:rPr>
        <w:tab/>
        <w:t>Program Sponsor</w:t>
      </w:r>
    </w:p>
    <w:p w14:paraId="37F8E2D3" w14:textId="77777777" w:rsidR="00B97F9F" w:rsidRDefault="00B97F9F">
      <w:pPr>
        <w:numPr>
          <w:ilvl w:val="0"/>
          <w:numId w:val="7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Ensures that risk registers are updated annually.</w:t>
      </w:r>
    </w:p>
    <w:p w14:paraId="62227D96" w14:textId="77777777" w:rsidR="00B97F9F" w:rsidRDefault="00B97F9F">
      <w:pPr>
        <w:numPr>
          <w:ilvl w:val="0"/>
          <w:numId w:val="7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Reviews and approves the risk registers prepared by program managers.</w:t>
      </w:r>
    </w:p>
    <w:p w14:paraId="6038C187" w14:textId="77777777" w:rsidR="00B97F9F" w:rsidRDefault="00B97F9F">
      <w:pPr>
        <w:numPr>
          <w:ilvl w:val="0"/>
          <w:numId w:val="7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Accepts responsibility for risk identification and accountability for those that have not been adequately identified or assessed.</w:t>
      </w:r>
    </w:p>
    <w:p w14:paraId="7C65304E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ab/>
        <w:t>4.3</w:t>
      </w:r>
      <w:r>
        <w:rPr>
          <w:rFonts w:ascii="Arial" w:hAnsi="Arial"/>
          <w:sz w:val="22"/>
          <w:szCs w:val="22"/>
          <w:lang w:val="en-AU"/>
        </w:rPr>
        <w:tab/>
        <w:t>Project/Program Managers</w:t>
      </w:r>
    </w:p>
    <w:p w14:paraId="50FB1F7D" w14:textId="77777777" w:rsidR="00B97F9F" w:rsidRDefault="00B97F9F">
      <w:pPr>
        <w:numPr>
          <w:ilvl w:val="0"/>
          <w:numId w:val="5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Prepare, review, and update a risk register in their area of responsibility.</w:t>
      </w:r>
    </w:p>
    <w:p w14:paraId="4CF3E1B1" w14:textId="77777777" w:rsidR="00B97F9F" w:rsidRDefault="00B97F9F">
      <w:pPr>
        <w:numPr>
          <w:ilvl w:val="0"/>
          <w:numId w:val="5"/>
        </w:num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>Continuously review risks and controls of their operations with a view to ensuring risks are</w:t>
      </w:r>
      <w:bookmarkStart w:id="0" w:name="_GoBack"/>
      <w:bookmarkEnd w:id="0"/>
      <w:r>
        <w:rPr>
          <w:rFonts w:ascii="Arial" w:hAnsi="Arial"/>
          <w:sz w:val="22"/>
          <w:szCs w:val="22"/>
          <w:lang w:val="en-AU"/>
        </w:rPr>
        <w:t xml:space="preserve"> effectively mitigated.</w:t>
      </w:r>
    </w:p>
    <w:p w14:paraId="432610A0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2658B559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</w:p>
    <w:p w14:paraId="3431EE66" w14:textId="77777777" w:rsidR="00B97F9F" w:rsidRDefault="00B97F9F">
      <w:pPr>
        <w:rPr>
          <w:rFonts w:ascii="Arial" w:hAnsi="Arial"/>
          <w:b/>
          <w:sz w:val="22"/>
          <w:szCs w:val="22"/>
          <w:lang w:val="en-AU"/>
        </w:rPr>
      </w:pPr>
      <w:r>
        <w:rPr>
          <w:rFonts w:ascii="Arial" w:hAnsi="Arial"/>
          <w:b/>
          <w:sz w:val="22"/>
          <w:szCs w:val="22"/>
          <w:lang w:val="en-AU"/>
        </w:rPr>
        <w:t>5.</w:t>
      </w:r>
      <w:r>
        <w:rPr>
          <w:rFonts w:ascii="Arial" w:hAnsi="Arial"/>
          <w:sz w:val="22"/>
          <w:szCs w:val="22"/>
          <w:lang w:val="en-AU"/>
        </w:rPr>
        <w:tab/>
      </w:r>
      <w:r>
        <w:rPr>
          <w:rFonts w:ascii="Arial" w:hAnsi="Arial"/>
          <w:b/>
          <w:sz w:val="22"/>
          <w:szCs w:val="22"/>
          <w:lang w:val="en-AU"/>
        </w:rPr>
        <w:t>Frequency of Updating Risk Registers</w:t>
      </w:r>
    </w:p>
    <w:p w14:paraId="7A939B70" w14:textId="77777777" w:rsidR="00B97F9F" w:rsidRDefault="00B97F9F">
      <w:pPr>
        <w:rPr>
          <w:rFonts w:ascii="Arial" w:hAnsi="Arial"/>
          <w:sz w:val="22"/>
          <w:szCs w:val="22"/>
          <w:lang w:val="en-AU"/>
        </w:rPr>
      </w:pPr>
      <w:r>
        <w:rPr>
          <w:rFonts w:ascii="Arial" w:hAnsi="Arial"/>
          <w:sz w:val="22"/>
          <w:szCs w:val="22"/>
          <w:lang w:val="en-AU"/>
        </w:rPr>
        <w:tab/>
      </w:r>
    </w:p>
    <w:p w14:paraId="0BBF1678" w14:textId="77777777" w:rsidR="00B97F9F" w:rsidRDefault="00B97F9F">
      <w:pPr>
        <w:numPr>
          <w:ilvl w:val="0"/>
          <w:numId w:val="6"/>
        </w:numPr>
      </w:pPr>
      <w:r>
        <w:rPr>
          <w:rFonts w:ascii="Arial" w:hAnsi="Arial"/>
          <w:sz w:val="22"/>
          <w:szCs w:val="22"/>
          <w:lang w:val="en-AU"/>
        </w:rPr>
        <w:t>Risk registers should be tracked once every two weeks.</w:t>
      </w:r>
    </w:p>
    <w:sectPr w:rsidR="00B97F9F" w:rsidSect="00CA2E3C">
      <w:headerReference w:type="default" r:id="rId10"/>
      <w:footerReference w:type="default" r:id="rId11"/>
      <w:footerReference w:type="first" r:id="rId12"/>
      <w:footnotePr>
        <w:pos w:val="beneathText"/>
      </w:footnotePr>
      <w:pgSz w:w="11905" w:h="16837"/>
      <w:pgMar w:top="1411" w:right="1411" w:bottom="1003" w:left="9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AF3577" w14:textId="77777777" w:rsidR="00A6719C" w:rsidRDefault="00A6719C" w:rsidP="00B97F9F">
      <w:r>
        <w:separator/>
      </w:r>
    </w:p>
  </w:endnote>
  <w:endnote w:type="continuationSeparator" w:id="0">
    <w:p w14:paraId="7B77328B" w14:textId="77777777" w:rsidR="00A6719C" w:rsidRDefault="00A6719C" w:rsidP="00B9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D4769" w14:textId="46F8C1E8" w:rsidR="00B97F9F" w:rsidRDefault="00B97F9F">
    <w:pPr>
      <w:pStyle w:val="Footer"/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Cs/>
        <w:sz w:val="16"/>
      </w:rPr>
      <w:t xml:space="preserve">Page </w:t>
    </w:r>
    <w:r>
      <w:rPr>
        <w:rFonts w:ascii="Arial" w:hAnsi="Arial" w:cs="Arial"/>
        <w:iCs/>
        <w:sz w:val="16"/>
      </w:rPr>
      <w:fldChar w:fldCharType="begin"/>
    </w:r>
    <w:r>
      <w:rPr>
        <w:rFonts w:ascii="Arial" w:hAnsi="Arial" w:cs="Arial"/>
        <w:iCs/>
        <w:sz w:val="16"/>
      </w:rPr>
      <w:instrText xml:space="preserve"> PAGE \*ARABIC </w:instrText>
    </w:r>
    <w:r>
      <w:rPr>
        <w:rFonts w:ascii="Arial" w:hAnsi="Arial" w:cs="Arial"/>
        <w:iCs/>
        <w:sz w:val="16"/>
      </w:rPr>
      <w:fldChar w:fldCharType="separate"/>
    </w:r>
    <w:r w:rsidR="00010A6D">
      <w:rPr>
        <w:rFonts w:ascii="Arial" w:hAnsi="Arial" w:cs="Arial"/>
        <w:iCs/>
        <w:noProof/>
        <w:sz w:val="16"/>
      </w:rPr>
      <w:t>2</w:t>
    </w:r>
    <w:r>
      <w:rPr>
        <w:rFonts w:ascii="Arial" w:hAnsi="Arial" w:cs="Arial"/>
        <w:iCs/>
        <w:sz w:val="16"/>
      </w:rPr>
      <w:fldChar w:fldCharType="end"/>
    </w:r>
    <w:r>
      <w:rPr>
        <w:rFonts w:ascii="Arial" w:hAnsi="Arial" w:cs="Arial"/>
        <w:iCs/>
        <w:sz w:val="16"/>
      </w:rPr>
      <w:t xml:space="preserve"> of </w:t>
    </w:r>
    <w:r>
      <w:rPr>
        <w:rFonts w:ascii="Arial" w:hAnsi="Arial" w:cs="Arial"/>
        <w:iCs/>
        <w:sz w:val="16"/>
      </w:rPr>
      <w:fldChar w:fldCharType="begin"/>
    </w:r>
    <w:r>
      <w:rPr>
        <w:rFonts w:ascii="Arial" w:hAnsi="Arial" w:cs="Arial"/>
        <w:iCs/>
        <w:sz w:val="16"/>
      </w:rPr>
      <w:instrText xml:space="preserve"> NUMPAGES \*ARABIC </w:instrText>
    </w:r>
    <w:r>
      <w:rPr>
        <w:rFonts w:ascii="Arial" w:hAnsi="Arial" w:cs="Arial"/>
        <w:iCs/>
        <w:sz w:val="16"/>
      </w:rPr>
      <w:fldChar w:fldCharType="separate"/>
    </w:r>
    <w:r w:rsidR="00010A6D">
      <w:rPr>
        <w:rFonts w:ascii="Arial" w:hAnsi="Arial" w:cs="Arial"/>
        <w:iCs/>
        <w:noProof/>
        <w:sz w:val="16"/>
      </w:rPr>
      <w:t>2</w:t>
    </w:r>
    <w:r>
      <w:rPr>
        <w:rFonts w:ascii="Arial" w:hAnsi="Arial" w:cs="Arial"/>
        <w:iCs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5C4F0" w14:textId="3C21D0FA" w:rsidR="00B97F9F" w:rsidRDefault="00B97F9F">
    <w:pPr>
      <w:pStyle w:val="Footer"/>
    </w:pP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iCs/>
        <w:sz w:val="16"/>
      </w:rPr>
      <w:tab/>
    </w:r>
    <w:r>
      <w:rPr>
        <w:rFonts w:ascii="Arial" w:hAnsi="Arial" w:cs="Arial"/>
        <w:i/>
        <w:sz w:val="16"/>
      </w:rPr>
      <w:tab/>
      <w:t xml:space="preserve">Page </w:t>
    </w: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PAGE \*ARABIC </w:instrText>
    </w:r>
    <w:r>
      <w:rPr>
        <w:rFonts w:ascii="Arial" w:hAnsi="Arial" w:cs="Arial"/>
        <w:i/>
        <w:sz w:val="16"/>
      </w:rPr>
      <w:fldChar w:fldCharType="separate"/>
    </w:r>
    <w:r w:rsidR="00010A6D">
      <w:rPr>
        <w:rFonts w:ascii="Arial" w:hAnsi="Arial" w:cs="Arial"/>
        <w:i/>
        <w:noProof/>
        <w:sz w:val="16"/>
      </w:rPr>
      <w:t>1</w:t>
    </w:r>
    <w:r>
      <w:rPr>
        <w:rFonts w:ascii="Arial" w:hAnsi="Arial" w:cs="Arial"/>
        <w:i/>
        <w:sz w:val="16"/>
      </w:rPr>
      <w:fldChar w:fldCharType="end"/>
    </w:r>
    <w:r>
      <w:rPr>
        <w:rFonts w:ascii="Arial" w:hAnsi="Arial" w:cs="Arial"/>
        <w:i/>
        <w:sz w:val="16"/>
      </w:rPr>
      <w:t xml:space="preserve"> of </w:t>
    </w:r>
    <w:r>
      <w:rPr>
        <w:rFonts w:ascii="Arial" w:hAnsi="Arial" w:cs="Arial"/>
        <w:i/>
        <w:sz w:val="16"/>
      </w:rPr>
      <w:fldChar w:fldCharType="begin"/>
    </w:r>
    <w:r>
      <w:rPr>
        <w:rFonts w:ascii="Arial" w:hAnsi="Arial" w:cs="Arial"/>
        <w:i/>
        <w:sz w:val="16"/>
      </w:rPr>
      <w:instrText xml:space="preserve"> NUMPAGES \*ARABIC </w:instrText>
    </w:r>
    <w:r>
      <w:rPr>
        <w:rFonts w:ascii="Arial" w:hAnsi="Arial" w:cs="Arial"/>
        <w:i/>
        <w:sz w:val="16"/>
      </w:rPr>
      <w:fldChar w:fldCharType="separate"/>
    </w:r>
    <w:r w:rsidR="00010A6D">
      <w:rPr>
        <w:rFonts w:ascii="Arial" w:hAnsi="Arial" w:cs="Arial"/>
        <w:i/>
        <w:noProof/>
        <w:sz w:val="16"/>
      </w:rPr>
      <w:t>2</w:t>
    </w:r>
    <w:r>
      <w:rPr>
        <w:rFonts w:ascii="Arial" w:hAnsi="Arial" w:cs="Arial"/>
        <w:i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FC2EB" w14:textId="77777777" w:rsidR="00A6719C" w:rsidRDefault="00A6719C" w:rsidP="00B97F9F">
      <w:r>
        <w:separator/>
      </w:r>
    </w:p>
  </w:footnote>
  <w:footnote w:type="continuationSeparator" w:id="0">
    <w:p w14:paraId="0CF13158" w14:textId="77777777" w:rsidR="00A6719C" w:rsidRDefault="00A6719C" w:rsidP="00B97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835E9" w14:textId="77777777" w:rsidR="00B97F9F" w:rsidRDefault="00557EC2">
    <w:pPr>
      <w:pStyle w:val="Header"/>
      <w:rPr>
        <w:color w:val="000000"/>
        <w:sz w:val="16"/>
      </w:rPr>
    </w:pPr>
    <w:r>
      <w:rPr>
        <w:noProof/>
        <w:color w:val="000000"/>
        <w:sz w:val="16"/>
        <w:lang w:eastAsia="en-US"/>
      </w:rPr>
      <mc:AlternateContent>
        <mc:Choice Requires="wps">
          <w:drawing>
            <wp:anchor distT="0" distB="0" distL="114935" distR="114935" simplePos="0" relativeHeight="251657728" behindDoc="0" locked="0" layoutInCell="1" allowOverlap="1" wp14:anchorId="32AB7146" wp14:editId="76255DD2">
              <wp:simplePos x="0" y="0"/>
              <wp:positionH relativeFrom="column">
                <wp:posOffset>3771900</wp:posOffset>
              </wp:positionH>
              <wp:positionV relativeFrom="paragraph">
                <wp:posOffset>0</wp:posOffset>
              </wp:positionV>
              <wp:extent cx="2581275" cy="408305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1275" cy="4083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D47DD" w14:textId="77777777" w:rsidR="00B97F9F" w:rsidRDefault="00CA2E3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 xml:space="preserve">Project:  </w:t>
                          </w:r>
                          <w:r w:rsidR="00B97F9F"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>GC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>CG</w:t>
                          </w:r>
                          <w:r w:rsidR="00B97F9F"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>e</w:t>
                          </w:r>
                          <w:r w:rsidR="00B97F9F">
                            <w:rPr>
                              <w:rFonts w:ascii="Arial" w:hAnsi="Arial" w:cs="Arial"/>
                              <w:b/>
                              <w:bCs/>
                              <w:color w:val="999999"/>
                            </w:rPr>
                            <w:t>-Banking Portal Risk Management Plan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7pt;margin-top:0;width:203.25pt;height:32.1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" stroked="f">
              <v:fill opacity="0"/>
              <v:textbox inset="0,0,0,0">
                <w:txbxContent>
                  <w:p w:rsidR="00B97F9F" w:rsidRDefault="00CA2E3C">
                    <w:pPr>
                      <w:jc w:val="right"/>
                      <w:rPr>
                        <w:rFonts w:ascii="Arial" w:hAnsi="Arial" w:cs="Arial"/>
                        <w:b/>
                        <w:bCs/>
                        <w:color w:val="999999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 xml:space="preserve">Project:  </w:t>
                    </w:r>
                    <w:r w:rsidR="00B97F9F"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>GC</w:t>
                    </w:r>
                    <w:r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>CG</w:t>
                    </w:r>
                    <w:r w:rsidR="00B97F9F"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>e</w:t>
                    </w:r>
                    <w:r w:rsidR="00B97F9F">
                      <w:rPr>
                        <w:rFonts w:ascii="Arial" w:hAnsi="Arial" w:cs="Arial"/>
                        <w:b/>
                        <w:bCs/>
                        <w:color w:val="999999"/>
                      </w:rPr>
                      <w:t>-Banking Portal Risk Management Plan</w:t>
                    </w:r>
                  </w:p>
                </w:txbxContent>
              </v:textbox>
            </v:shape>
          </w:pict>
        </mc:Fallback>
      </mc:AlternateContent>
    </w:r>
    <w:r w:rsidR="00B97F9F">
      <w:rPr>
        <w:color w:val="000000"/>
        <w:sz w:val="16"/>
      </w:rPr>
      <w:tab/>
    </w:r>
    <w:r w:rsidR="00B97F9F">
      <w:rPr>
        <w:color w:val="000000"/>
        <w:sz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·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41"/>
    <w:rsid w:val="00010A6D"/>
    <w:rsid w:val="000C2726"/>
    <w:rsid w:val="003941E4"/>
    <w:rsid w:val="00444730"/>
    <w:rsid w:val="004E5B04"/>
    <w:rsid w:val="00557EC2"/>
    <w:rsid w:val="006269B8"/>
    <w:rsid w:val="007C4D14"/>
    <w:rsid w:val="00925896"/>
    <w:rsid w:val="00A6719C"/>
    <w:rsid w:val="00A83118"/>
    <w:rsid w:val="00B07B41"/>
    <w:rsid w:val="00B97F9F"/>
    <w:rsid w:val="00C01938"/>
    <w:rsid w:val="00C82862"/>
    <w:rsid w:val="00CA2E3C"/>
    <w:rsid w:val="00CB7BA3"/>
    <w:rsid w:val="00D81A12"/>
    <w:rsid w:val="00ED6C23"/>
    <w:rsid w:val="00F4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255B3"/>
  <w15:chartTrackingRefBased/>
  <w15:docId w15:val="{06F587D0-BEED-461B-8532-C1A9E657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outlineLvl w:val="0"/>
    </w:pPr>
    <w:rPr>
      <w:b/>
      <w:i/>
      <w:i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8"/>
      </w:numPr>
      <w:outlineLvl w:val="1"/>
    </w:pPr>
    <w:rPr>
      <w:b/>
      <w:i/>
      <w:iCs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8"/>
      </w:numPr>
      <w:jc w:val="center"/>
      <w:outlineLvl w:val="2"/>
    </w:pPr>
    <w:rPr>
      <w:b/>
      <w:color w:val="FFFFFF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8"/>
      </w:numPr>
      <w:jc w:val="right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8"/>
      </w:numPr>
      <w:jc w:val="center"/>
      <w:outlineLvl w:val="6"/>
    </w:pPr>
    <w:rPr>
      <w:b/>
      <w:bCs/>
      <w:sz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  <w:sz w:val="16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  <w:sz w:val="16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FootnoteCharacters">
    <w:name w:val="Footnote Characters"/>
    <w:basedOn w:val="WW-DefaultParagraphFont"/>
    <w:rPr>
      <w:vertAlign w:val="superscript"/>
    </w:rPr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FollowedHyperlink">
    <w:name w:val="FollowedHyperlink"/>
    <w:basedOn w:val="WW-DefaultParagraphFont"/>
    <w:rPr>
      <w:color w:val="800080"/>
      <w:u w:val="single"/>
    </w:rPr>
  </w:style>
  <w:style w:type="paragraph" w:styleId="BodyText">
    <w:name w:val="Body Text"/>
    <w:basedOn w:val="Normal"/>
    <w:pPr>
      <w:jc w:val="center"/>
    </w:pPr>
    <w:rPr>
      <w:b/>
    </w:r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next w:val="Normal"/>
    <w:pPr>
      <w:jc w:val="center"/>
    </w:pPr>
    <w:rPr>
      <w:b/>
      <w:bCs/>
      <w:sz w:val="28"/>
      <w:szCs w:val="24"/>
      <w:lang w:val="en-AU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EnvelopeAddress">
    <w:name w:val="envelope address"/>
    <w:basedOn w:val="Normal"/>
    <w:pPr>
      <w:ind w:left="2880"/>
    </w:pPr>
    <w:rPr>
      <w:color w:val="00000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WW-BodyText2">
    <w:name w:val="WW-Body Text 2"/>
    <w:basedOn w:val="Normal"/>
    <w:rPr>
      <w:b/>
    </w:rPr>
  </w:style>
  <w:style w:type="paragraph" w:customStyle="1" w:styleId="WW-BodyText3">
    <w:name w:val="WW-Body Text 3"/>
    <w:basedOn w:val="Normal"/>
    <w:pPr>
      <w:jc w:val="center"/>
    </w:pPr>
  </w:style>
  <w:style w:type="paragraph" w:styleId="TOC1">
    <w:name w:val="toc 1"/>
    <w:basedOn w:val="Normal"/>
    <w:next w:val="Normal"/>
    <w:semiHidden/>
  </w:style>
  <w:style w:type="paragraph" w:styleId="TOC2">
    <w:name w:val="toc 2"/>
    <w:basedOn w:val="Normal"/>
    <w:next w:val="Normal"/>
    <w:semiHidden/>
    <w:pPr>
      <w:ind w:left="240"/>
    </w:pPr>
  </w:style>
  <w:style w:type="paragraph" w:styleId="TOC3">
    <w:name w:val="toc 3"/>
    <w:basedOn w:val="Normal"/>
    <w:next w:val="Normal"/>
    <w:semiHidden/>
    <w:pPr>
      <w:ind w:left="480"/>
    </w:pPr>
  </w:style>
  <w:style w:type="paragraph" w:styleId="TOC4">
    <w:name w:val="toc 4"/>
    <w:basedOn w:val="Normal"/>
    <w:next w:val="Normal"/>
    <w:semiHidden/>
    <w:pPr>
      <w:ind w:left="720"/>
    </w:pPr>
  </w:style>
  <w:style w:type="paragraph" w:styleId="TOC5">
    <w:name w:val="toc 5"/>
    <w:basedOn w:val="Normal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ind w:left="1200"/>
    </w:pPr>
  </w:style>
  <w:style w:type="paragraph" w:styleId="TOC7">
    <w:name w:val="toc 7"/>
    <w:basedOn w:val="Normal"/>
    <w:next w:val="Normal"/>
    <w:semiHidden/>
    <w:pPr>
      <w:ind w:left="1440"/>
    </w:pPr>
  </w:style>
  <w:style w:type="paragraph" w:styleId="TOC8">
    <w:name w:val="toc 8"/>
    <w:basedOn w:val="Normal"/>
    <w:next w:val="Normal"/>
    <w:semiHidden/>
    <w:pPr>
      <w:ind w:left="1680"/>
    </w:pPr>
  </w:style>
  <w:style w:type="paragraph" w:styleId="TOC9">
    <w:name w:val="toc 9"/>
    <w:basedOn w:val="Normal"/>
    <w:next w:val="Normal"/>
    <w:semiHidden/>
    <w:pPr>
      <w:ind w:left="1920"/>
    </w:pPr>
  </w:style>
  <w:style w:type="paragraph" w:customStyle="1" w:styleId="WW-DocumentMap">
    <w:name w:val="WW-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WW-BlockText">
    <w:name w:val="WW-Block Text"/>
    <w:basedOn w:val="Normal"/>
    <w:pPr>
      <w:widowControl w:val="0"/>
      <w:tabs>
        <w:tab w:val="left" w:pos="90"/>
      </w:tabs>
      <w:ind w:left="720" w:right="27" w:hanging="720"/>
      <w:jc w:val="both"/>
    </w:pPr>
    <w:rPr>
      <w:color w:val="000000"/>
    </w:rPr>
  </w:style>
  <w:style w:type="paragraph" w:customStyle="1" w:styleId="BodyText21">
    <w:name w:val="Body Text 21"/>
    <w:basedOn w:val="Normal"/>
    <w:pPr>
      <w:widowControl w:val="0"/>
      <w:jc w:val="both"/>
    </w:pPr>
    <w:rPr>
      <w:color w:val="00000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">
    <w:name w:val="B"/>
    <w:basedOn w:val="Normal"/>
    <w:pPr>
      <w:tabs>
        <w:tab w:val="left" w:pos="560"/>
        <w:tab w:val="left" w:pos="840"/>
      </w:tabs>
      <w:spacing w:before="120" w:line="360" w:lineRule="auto"/>
      <w:ind w:left="540"/>
      <w:jc w:val="both"/>
    </w:pPr>
    <w:rPr>
      <w:lang w:val="en-GB"/>
    </w:rPr>
  </w:style>
  <w:style w:type="paragraph" w:customStyle="1" w:styleId="B2numberlist">
    <w:name w:val="B2 number list"/>
    <w:basedOn w:val="B"/>
    <w:pPr>
      <w:tabs>
        <w:tab w:val="clear" w:pos="560"/>
        <w:tab w:val="left" w:pos="567"/>
        <w:tab w:val="left" w:pos="993"/>
        <w:tab w:val="left" w:pos="1701"/>
      </w:tabs>
      <w:ind w:left="567"/>
    </w:pPr>
  </w:style>
  <w:style w:type="paragraph" w:customStyle="1" w:styleId="Bold">
    <w:name w:val="Bold"/>
    <w:basedOn w:val="Normal"/>
    <w:next w:val="Normal"/>
    <w:rPr>
      <w:b/>
      <w:bCs/>
      <w:szCs w:val="24"/>
      <w:lang w:val="en-AU"/>
    </w:rPr>
  </w:style>
  <w:style w:type="paragraph" w:customStyle="1" w:styleId="derstyles">
    <w:name w:val="derstyle: s"/>
    <w:basedOn w:val="Normal"/>
    <w:rPr>
      <w:szCs w:val="24"/>
      <w:lang w:val="en-AU"/>
    </w:rPr>
  </w:style>
  <w:style w:type="paragraph" w:customStyle="1" w:styleId="Right">
    <w:name w:val="Right"/>
    <w:basedOn w:val="Normal"/>
    <w:pPr>
      <w:jc w:val="right"/>
    </w:pPr>
    <w:rPr>
      <w:szCs w:val="24"/>
      <w:lang w:val="en-AU"/>
    </w:rPr>
  </w:style>
  <w:style w:type="paragraph" w:customStyle="1" w:styleId="Italic">
    <w:name w:val="Italic"/>
    <w:basedOn w:val="Normal"/>
    <w:rPr>
      <w:i/>
      <w:iCs/>
      <w:szCs w:val="24"/>
      <w:lang w:val="en-AU"/>
    </w:rPr>
  </w:style>
  <w:style w:type="paragraph" w:customStyle="1" w:styleId="Boldright">
    <w:name w:val="Boldright"/>
    <w:basedOn w:val="Bold"/>
    <w:pPr>
      <w:jc w:val="right"/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Index2">
    <w:name w:val="index 2"/>
    <w:basedOn w:val="Normal"/>
    <w:next w:val="Normal"/>
    <w:semiHidden/>
    <w:pPr>
      <w:ind w:left="480" w:hanging="240"/>
    </w:pPr>
  </w:style>
  <w:style w:type="paragraph" w:styleId="Index1">
    <w:name w:val="index 1"/>
    <w:basedOn w:val="Normal"/>
    <w:next w:val="Normal"/>
    <w:semiHidden/>
    <w:pPr>
      <w:ind w:left="240" w:hanging="240"/>
    </w:pPr>
  </w:style>
  <w:style w:type="paragraph" w:styleId="Index3">
    <w:name w:val="index 3"/>
    <w:basedOn w:val="Normal"/>
    <w:next w:val="Normal"/>
    <w:semiHidden/>
    <w:pPr>
      <w:ind w:left="720" w:hanging="240"/>
    </w:pPr>
  </w:style>
  <w:style w:type="paragraph" w:customStyle="1" w:styleId="WW-Index4">
    <w:name w:val="WW-Index 4"/>
    <w:basedOn w:val="Normal"/>
    <w:next w:val="Normal"/>
    <w:pPr>
      <w:ind w:left="960" w:hanging="240"/>
    </w:pPr>
  </w:style>
  <w:style w:type="paragraph" w:customStyle="1" w:styleId="WW-Index5">
    <w:name w:val="WW-Index 5"/>
    <w:basedOn w:val="Normal"/>
    <w:next w:val="Normal"/>
    <w:pPr>
      <w:ind w:left="1200" w:hanging="240"/>
    </w:pPr>
  </w:style>
  <w:style w:type="paragraph" w:customStyle="1" w:styleId="WW-Index6">
    <w:name w:val="WW-Index 6"/>
    <w:basedOn w:val="Normal"/>
    <w:next w:val="Normal"/>
    <w:pPr>
      <w:ind w:left="1440" w:hanging="240"/>
    </w:pPr>
  </w:style>
  <w:style w:type="paragraph" w:customStyle="1" w:styleId="WW-Index7">
    <w:name w:val="WW-Index 7"/>
    <w:basedOn w:val="Normal"/>
    <w:next w:val="Normal"/>
    <w:pPr>
      <w:ind w:left="1680" w:hanging="240"/>
    </w:pPr>
  </w:style>
  <w:style w:type="paragraph" w:customStyle="1" w:styleId="WW-Index8">
    <w:name w:val="WW-Index 8"/>
    <w:basedOn w:val="Normal"/>
    <w:next w:val="Normal"/>
    <w:pPr>
      <w:ind w:left="1920" w:hanging="240"/>
    </w:pPr>
  </w:style>
  <w:style w:type="paragraph" w:customStyle="1" w:styleId="WW-Index9">
    <w:name w:val="WW-Index 9"/>
    <w:basedOn w:val="Normal"/>
    <w:next w:val="Normal"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customStyle="1" w:styleId="WW-BalloonText">
    <w:name w:val="WW-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rPr>
      <w:bCs/>
      <w:i/>
      <w:i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semiHidden/>
    <w:rsid w:val="00B07B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C4D14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4D1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4D14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7C4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4D14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ADB7A-7D01-4588-931E-8B2C2535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OGC Risk Management Plan</vt:lpstr>
    </vt:vector>
  </TitlesOfParts>
  <Company>ElementK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OGC Risk Management Plan</dc:title>
  <dc:subject/>
  <dc:creator>Laurie Perry</dc:creator>
  <cp:keywords/>
  <dc:description/>
  <cp:lastModifiedBy>Peter B</cp:lastModifiedBy>
  <cp:revision>8</cp:revision>
  <cp:lastPrinted>2003-01-13T09:10:00Z</cp:lastPrinted>
  <dcterms:created xsi:type="dcterms:W3CDTF">2016-10-12T15:36:00Z</dcterms:created>
  <dcterms:modified xsi:type="dcterms:W3CDTF">2017-02-17T00:49:00Z</dcterms:modified>
</cp:coreProperties>
</file>