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243" w:rsidRPr="00747572" w:rsidRDefault="00747572">
      <w:r w:rsidRPr="00747572">
        <w:rPr>
          <w:noProof/>
        </w:rPr>
        <w:drawing>
          <wp:anchor distT="0" distB="0" distL="114300" distR="114300" simplePos="0" relativeHeight="251658240" behindDoc="0" locked="0" layoutInCell="1" allowOverlap="1" wp14:anchorId="0E228F51" wp14:editId="5EE0D045">
            <wp:simplePos x="0" y="0"/>
            <wp:positionH relativeFrom="margin">
              <wp:posOffset>-476250</wp:posOffset>
            </wp:positionH>
            <wp:positionV relativeFrom="margin">
              <wp:posOffset>-552450</wp:posOffset>
            </wp:positionV>
            <wp:extent cx="2457450" cy="619125"/>
            <wp:effectExtent l="0" t="0" r="0" b="9525"/>
            <wp:wrapSquare wrapText="bothSides"/>
            <wp:docPr id="1" name="Picture 1" descr="C:\Users\Laurie Perry\Documents\Projects\CompTIA Project+\images\GCC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ie Perry\Documents\Projects\CompTIA Project+\images\GCCG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7450"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7572" w:rsidRPr="00747572" w:rsidRDefault="00747572" w:rsidP="00747572">
      <w:pPr>
        <w:jc w:val="center"/>
        <w:rPr>
          <w:rFonts w:cs="Arial"/>
          <w:sz w:val="32"/>
          <w:szCs w:val="28"/>
        </w:rPr>
      </w:pPr>
      <w:r w:rsidRPr="00747572">
        <w:rPr>
          <w:rFonts w:cs="Arial"/>
          <w:sz w:val="32"/>
          <w:szCs w:val="28"/>
        </w:rPr>
        <w:t>Requirements Document</w:t>
      </w:r>
    </w:p>
    <w:p w:rsidR="00747572" w:rsidRPr="00747572" w:rsidRDefault="00747572" w:rsidP="00747572">
      <w:pPr>
        <w:pStyle w:val="Heading2"/>
        <w:rPr>
          <w:color w:val="auto"/>
        </w:rPr>
      </w:pPr>
      <w:r w:rsidRPr="00747572">
        <w:rPr>
          <w:b/>
          <w:color w:val="385623" w:themeColor="accent6" w:themeShade="80"/>
        </w:rPr>
        <w:t>Project:</w:t>
      </w:r>
      <w:r w:rsidRPr="00747572">
        <w:rPr>
          <w:color w:val="385623" w:themeColor="accent6" w:themeShade="80"/>
        </w:rPr>
        <w:t xml:space="preserve"> </w:t>
      </w:r>
      <w:r w:rsidR="001F24CD">
        <w:rPr>
          <w:color w:val="auto"/>
        </w:rPr>
        <w:t>GCCG</w:t>
      </w:r>
      <w:r w:rsidR="00142D0C">
        <w:rPr>
          <w:color w:val="auto"/>
        </w:rPr>
        <w:t xml:space="preserve"> </w:t>
      </w:r>
      <w:r w:rsidR="00D81947" w:rsidRPr="00D81947">
        <w:rPr>
          <w:color w:val="auto"/>
        </w:rPr>
        <w:t>e-Banking Portal</w:t>
      </w:r>
    </w:p>
    <w:p w:rsidR="00747572" w:rsidRPr="00747572" w:rsidRDefault="00747572" w:rsidP="00747572">
      <w:pPr>
        <w:pStyle w:val="Heading1"/>
        <w:spacing w:before="120" w:after="240"/>
        <w:rPr>
          <w:rFonts w:asciiTheme="minorHAnsi" w:hAnsiTheme="minorHAnsi"/>
          <w:b/>
          <w:color w:val="385623" w:themeColor="accent6" w:themeShade="80"/>
          <w:sz w:val="26"/>
          <w:szCs w:val="26"/>
        </w:rPr>
      </w:pPr>
      <w:r w:rsidRPr="00747572">
        <w:rPr>
          <w:rFonts w:asciiTheme="minorHAnsi" w:hAnsiTheme="minorHAnsi"/>
          <w:b/>
          <w:color w:val="385623" w:themeColor="accent6" w:themeShade="80"/>
          <w:sz w:val="26"/>
          <w:szCs w:val="26"/>
        </w:rPr>
        <w:t>Version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2112"/>
        <w:gridCol w:w="2176"/>
        <w:gridCol w:w="1921"/>
      </w:tblGrid>
      <w:tr w:rsidR="00747572" w:rsidRPr="00747572" w:rsidTr="00747572">
        <w:trPr>
          <w:trHeight w:val="362"/>
          <w:jc w:val="center"/>
        </w:trPr>
        <w:tc>
          <w:tcPr>
            <w:tcW w:w="2169" w:type="dxa"/>
            <w:shd w:val="clear" w:color="auto" w:fill="C5E0B3" w:themeFill="accent6" w:themeFillTint="66"/>
            <w:vAlign w:val="bottom"/>
          </w:tcPr>
          <w:p w:rsidR="00747572" w:rsidRPr="00747572" w:rsidRDefault="00747572" w:rsidP="00747572">
            <w:pPr>
              <w:jc w:val="center"/>
              <w:rPr>
                <w:rFonts w:cs="Arial"/>
                <w:b/>
                <w:szCs w:val="20"/>
              </w:rPr>
            </w:pPr>
            <w:r w:rsidRPr="00747572">
              <w:rPr>
                <w:rFonts w:cs="Arial"/>
                <w:b/>
                <w:szCs w:val="20"/>
              </w:rPr>
              <w:t>Document Release</w:t>
            </w:r>
          </w:p>
        </w:tc>
        <w:tc>
          <w:tcPr>
            <w:tcW w:w="2112" w:type="dxa"/>
            <w:shd w:val="clear" w:color="auto" w:fill="C5E0B3" w:themeFill="accent6" w:themeFillTint="66"/>
            <w:vAlign w:val="bottom"/>
          </w:tcPr>
          <w:p w:rsidR="00747572" w:rsidRPr="00747572" w:rsidRDefault="00747572" w:rsidP="00747572">
            <w:pPr>
              <w:jc w:val="center"/>
              <w:rPr>
                <w:rFonts w:cs="Arial"/>
                <w:b/>
                <w:szCs w:val="20"/>
              </w:rPr>
            </w:pPr>
            <w:r w:rsidRPr="00747572">
              <w:rPr>
                <w:rFonts w:cs="Arial"/>
                <w:b/>
                <w:szCs w:val="20"/>
              </w:rPr>
              <w:t>Date</w:t>
            </w:r>
          </w:p>
        </w:tc>
        <w:tc>
          <w:tcPr>
            <w:tcW w:w="2176" w:type="dxa"/>
            <w:shd w:val="clear" w:color="auto" w:fill="C5E0B3" w:themeFill="accent6" w:themeFillTint="66"/>
            <w:vAlign w:val="bottom"/>
          </w:tcPr>
          <w:p w:rsidR="00747572" w:rsidRPr="00747572" w:rsidRDefault="00747572" w:rsidP="00747572">
            <w:pPr>
              <w:jc w:val="center"/>
              <w:rPr>
                <w:rFonts w:cs="Arial"/>
                <w:b/>
                <w:szCs w:val="20"/>
              </w:rPr>
            </w:pPr>
            <w:r w:rsidRPr="00747572">
              <w:rPr>
                <w:rFonts w:cs="Arial"/>
                <w:b/>
                <w:szCs w:val="20"/>
              </w:rPr>
              <w:t>Author</w:t>
            </w:r>
          </w:p>
        </w:tc>
        <w:tc>
          <w:tcPr>
            <w:tcW w:w="1921" w:type="dxa"/>
            <w:shd w:val="clear" w:color="auto" w:fill="C5E0B3" w:themeFill="accent6" w:themeFillTint="66"/>
            <w:vAlign w:val="bottom"/>
          </w:tcPr>
          <w:p w:rsidR="00747572" w:rsidRPr="00747572" w:rsidRDefault="00747572" w:rsidP="00747572">
            <w:pPr>
              <w:jc w:val="center"/>
              <w:rPr>
                <w:rFonts w:cs="Arial"/>
                <w:b/>
                <w:szCs w:val="20"/>
              </w:rPr>
            </w:pPr>
            <w:r w:rsidRPr="00747572">
              <w:rPr>
                <w:rFonts w:cs="Arial"/>
                <w:b/>
                <w:szCs w:val="20"/>
              </w:rPr>
              <w:t>Description</w:t>
            </w:r>
          </w:p>
        </w:tc>
      </w:tr>
      <w:tr w:rsidR="00747572" w:rsidRPr="00747572" w:rsidTr="00DA3811">
        <w:trPr>
          <w:trHeight w:val="255"/>
          <w:jc w:val="center"/>
        </w:trPr>
        <w:tc>
          <w:tcPr>
            <w:tcW w:w="2169" w:type="dxa"/>
          </w:tcPr>
          <w:p w:rsidR="00747572" w:rsidRPr="00747572" w:rsidRDefault="00747572" w:rsidP="00DA3811">
            <w:pPr>
              <w:rPr>
                <w:rFonts w:cs="Arial"/>
                <w:szCs w:val="20"/>
              </w:rPr>
            </w:pPr>
            <w:r w:rsidRPr="00747572">
              <w:rPr>
                <w:rFonts w:cs="Arial"/>
                <w:szCs w:val="20"/>
              </w:rPr>
              <w:t>1.0</w:t>
            </w:r>
          </w:p>
        </w:tc>
        <w:tc>
          <w:tcPr>
            <w:tcW w:w="2112" w:type="dxa"/>
          </w:tcPr>
          <w:p w:rsidR="00747572" w:rsidRPr="00747572" w:rsidRDefault="00747572" w:rsidP="00DA3811">
            <w:pPr>
              <w:rPr>
                <w:rFonts w:cs="Arial"/>
                <w:szCs w:val="20"/>
              </w:rPr>
            </w:pPr>
            <w:r w:rsidRPr="00747572">
              <w:rPr>
                <w:rFonts w:cs="Arial"/>
                <w:i/>
                <w:iCs/>
                <w:szCs w:val="20"/>
              </w:rPr>
              <w:t>&lt;Today’s Date&gt;</w:t>
            </w:r>
          </w:p>
        </w:tc>
        <w:tc>
          <w:tcPr>
            <w:tcW w:w="2176" w:type="dxa"/>
          </w:tcPr>
          <w:p w:rsidR="00747572" w:rsidRPr="00747572" w:rsidRDefault="00747572" w:rsidP="00DA3811">
            <w:pPr>
              <w:rPr>
                <w:rFonts w:cs="Arial"/>
                <w:i/>
                <w:iCs/>
                <w:szCs w:val="20"/>
              </w:rPr>
            </w:pPr>
            <w:r w:rsidRPr="00747572">
              <w:rPr>
                <w:rFonts w:cs="Arial"/>
                <w:i/>
                <w:iCs/>
                <w:szCs w:val="20"/>
              </w:rPr>
              <w:t>&lt;Student Name&gt;</w:t>
            </w:r>
          </w:p>
        </w:tc>
        <w:tc>
          <w:tcPr>
            <w:tcW w:w="1921" w:type="dxa"/>
          </w:tcPr>
          <w:p w:rsidR="00747572" w:rsidRPr="00747572" w:rsidRDefault="00747572" w:rsidP="00DA3811">
            <w:pPr>
              <w:rPr>
                <w:rFonts w:cs="Arial"/>
                <w:szCs w:val="20"/>
              </w:rPr>
            </w:pPr>
            <w:r w:rsidRPr="00747572">
              <w:rPr>
                <w:rFonts w:cs="Arial"/>
                <w:szCs w:val="20"/>
              </w:rPr>
              <w:t>Original version</w:t>
            </w:r>
          </w:p>
        </w:tc>
      </w:tr>
      <w:tr w:rsidR="00747572" w:rsidRPr="00747572" w:rsidTr="00DA3811">
        <w:trPr>
          <w:trHeight w:val="324"/>
          <w:jc w:val="center"/>
        </w:trPr>
        <w:tc>
          <w:tcPr>
            <w:tcW w:w="2169" w:type="dxa"/>
          </w:tcPr>
          <w:p w:rsidR="00747572" w:rsidRPr="00747572" w:rsidRDefault="00747572" w:rsidP="00DA3811">
            <w:pPr>
              <w:rPr>
                <w:rFonts w:cs="Arial"/>
              </w:rPr>
            </w:pPr>
          </w:p>
        </w:tc>
        <w:tc>
          <w:tcPr>
            <w:tcW w:w="2112" w:type="dxa"/>
          </w:tcPr>
          <w:p w:rsidR="00747572" w:rsidRPr="00747572" w:rsidRDefault="00747572" w:rsidP="00DA3811">
            <w:pPr>
              <w:rPr>
                <w:rFonts w:cs="Arial"/>
              </w:rPr>
            </w:pPr>
          </w:p>
        </w:tc>
        <w:tc>
          <w:tcPr>
            <w:tcW w:w="2176" w:type="dxa"/>
          </w:tcPr>
          <w:p w:rsidR="00747572" w:rsidRPr="00747572" w:rsidRDefault="00747572" w:rsidP="00DA3811">
            <w:pPr>
              <w:rPr>
                <w:rFonts w:cs="Arial"/>
              </w:rPr>
            </w:pPr>
          </w:p>
        </w:tc>
        <w:tc>
          <w:tcPr>
            <w:tcW w:w="1921" w:type="dxa"/>
          </w:tcPr>
          <w:p w:rsidR="00747572" w:rsidRPr="00747572" w:rsidRDefault="00747572" w:rsidP="00DA3811">
            <w:pPr>
              <w:rPr>
                <w:rFonts w:cs="Arial"/>
              </w:rPr>
            </w:pPr>
          </w:p>
        </w:tc>
      </w:tr>
    </w:tbl>
    <w:p w:rsidR="00747572" w:rsidRPr="00747572" w:rsidRDefault="00747572" w:rsidP="001F24CD">
      <w:pPr>
        <w:pStyle w:val="Heading1"/>
        <w:rPr>
          <w:rFonts w:asciiTheme="minorHAnsi" w:hAnsiTheme="minorHAnsi"/>
          <w:b/>
          <w:color w:val="385623" w:themeColor="accent6" w:themeShade="80"/>
          <w:sz w:val="26"/>
          <w:szCs w:val="26"/>
        </w:rPr>
      </w:pPr>
      <w:bookmarkStart w:id="0" w:name="_Toc229473691"/>
      <w:r w:rsidRPr="00747572">
        <w:rPr>
          <w:rFonts w:asciiTheme="minorHAnsi" w:hAnsiTheme="minorHAnsi"/>
          <w:b/>
          <w:color w:val="385623" w:themeColor="accent6" w:themeShade="80"/>
          <w:sz w:val="26"/>
          <w:szCs w:val="26"/>
        </w:rPr>
        <w:t>1. Introduction</w:t>
      </w:r>
      <w:bookmarkEnd w:id="0"/>
    </w:p>
    <w:p w:rsidR="00747572" w:rsidRPr="001F24CD" w:rsidRDefault="00747572" w:rsidP="00747572">
      <w:pPr>
        <w:pStyle w:val="Heading2"/>
        <w:rPr>
          <w:rFonts w:asciiTheme="minorHAnsi" w:hAnsiTheme="minorHAnsi"/>
          <w:b/>
          <w:color w:val="385623" w:themeColor="accent6" w:themeShade="80"/>
          <w:sz w:val="22"/>
          <w:szCs w:val="24"/>
        </w:rPr>
      </w:pPr>
      <w:bookmarkStart w:id="1" w:name="_Toc229473692"/>
      <w:r w:rsidRPr="001F24CD">
        <w:rPr>
          <w:rFonts w:asciiTheme="minorHAnsi" w:hAnsiTheme="minorHAnsi"/>
          <w:b/>
          <w:color w:val="385623" w:themeColor="accent6" w:themeShade="80"/>
          <w:sz w:val="22"/>
          <w:szCs w:val="24"/>
        </w:rPr>
        <w:t>1.1 Purpose/Scope</w:t>
      </w:r>
      <w:bookmarkEnd w:id="1"/>
    </w:p>
    <w:p w:rsidR="00747572" w:rsidRPr="00747572" w:rsidRDefault="00747572" w:rsidP="00747572">
      <w:pPr>
        <w:rPr>
          <w:rFonts w:cs="Arial"/>
          <w:sz w:val="24"/>
          <w:szCs w:val="24"/>
        </w:rPr>
      </w:pPr>
      <w:r w:rsidRPr="00747572">
        <w:rPr>
          <w:rFonts w:cs="Arial"/>
          <w:sz w:val="24"/>
          <w:szCs w:val="24"/>
        </w:rPr>
        <w:t xml:space="preserve">This document describes the requirements and other relevant information of the </w:t>
      </w:r>
      <w:r w:rsidR="001F24CD">
        <w:rPr>
          <w:rFonts w:cs="Arial"/>
          <w:sz w:val="24"/>
          <w:szCs w:val="24"/>
        </w:rPr>
        <w:t>GCCG</w:t>
      </w:r>
      <w:r w:rsidRPr="00747572">
        <w:rPr>
          <w:rFonts w:cs="Arial"/>
          <w:sz w:val="24"/>
          <w:szCs w:val="24"/>
        </w:rPr>
        <w:t xml:space="preserve"> project.</w:t>
      </w:r>
    </w:p>
    <w:p w:rsidR="00747572" w:rsidRPr="001F24CD" w:rsidRDefault="00747572" w:rsidP="00747572">
      <w:pPr>
        <w:pStyle w:val="Heading2"/>
        <w:rPr>
          <w:rFonts w:asciiTheme="minorHAnsi" w:hAnsiTheme="minorHAnsi"/>
          <w:b/>
          <w:color w:val="385623" w:themeColor="accent6" w:themeShade="80"/>
          <w:sz w:val="22"/>
          <w:szCs w:val="24"/>
        </w:rPr>
      </w:pPr>
      <w:r w:rsidRPr="001F24CD">
        <w:rPr>
          <w:rFonts w:asciiTheme="minorHAnsi" w:hAnsiTheme="minorHAnsi"/>
          <w:b/>
          <w:color w:val="385623" w:themeColor="accent6" w:themeShade="80"/>
          <w:sz w:val="22"/>
          <w:szCs w:val="24"/>
        </w:rPr>
        <w:t xml:space="preserve">1.2 </w:t>
      </w:r>
      <w:bookmarkStart w:id="2" w:name="_Toc229473695"/>
      <w:r w:rsidRPr="001F24CD">
        <w:rPr>
          <w:rFonts w:asciiTheme="minorHAnsi" w:hAnsiTheme="minorHAnsi"/>
          <w:b/>
          <w:color w:val="385623" w:themeColor="accent6" w:themeShade="80"/>
          <w:sz w:val="22"/>
          <w:szCs w:val="24"/>
        </w:rPr>
        <w:t>Assumptions, Dependencies, and Constraints</w:t>
      </w:r>
      <w:bookmarkEnd w:id="2"/>
    </w:p>
    <w:p w:rsidR="00747572" w:rsidRPr="001F24CD" w:rsidRDefault="00747572" w:rsidP="001F24CD">
      <w:pPr>
        <w:spacing w:after="0"/>
        <w:rPr>
          <w:rFonts w:cs="Arial"/>
          <w:b/>
          <w:color w:val="385623" w:themeColor="accent6" w:themeShade="80"/>
          <w:szCs w:val="24"/>
        </w:rPr>
      </w:pPr>
      <w:r w:rsidRPr="001F24CD">
        <w:rPr>
          <w:rFonts w:cs="Arial"/>
          <w:b/>
          <w:color w:val="385623" w:themeColor="accent6" w:themeShade="80"/>
          <w:szCs w:val="24"/>
        </w:rPr>
        <w:t>Assumption:</w:t>
      </w:r>
    </w:p>
    <w:p w:rsidR="00747572" w:rsidRPr="00747572" w:rsidRDefault="00747572" w:rsidP="00747572">
      <w:pPr>
        <w:numPr>
          <w:ilvl w:val="0"/>
          <w:numId w:val="1"/>
        </w:numPr>
        <w:tabs>
          <w:tab w:val="clear" w:pos="1080"/>
          <w:tab w:val="num" w:pos="720"/>
        </w:tabs>
        <w:spacing w:after="0" w:line="240" w:lineRule="auto"/>
        <w:ind w:left="720"/>
        <w:rPr>
          <w:rFonts w:cs="Arial"/>
          <w:sz w:val="24"/>
          <w:szCs w:val="24"/>
        </w:rPr>
      </w:pPr>
      <w:r w:rsidRPr="00747572">
        <w:rPr>
          <w:rFonts w:cs="Arial"/>
          <w:sz w:val="24"/>
          <w:szCs w:val="24"/>
        </w:rPr>
        <w:t xml:space="preserve">Since this is a new foray of integrating banking services into a consumer e-banking portal, the company will expect the technology and technical skills required for this integration to be made available for project execution. </w:t>
      </w:r>
    </w:p>
    <w:p w:rsidR="00747572" w:rsidRPr="001F24CD" w:rsidRDefault="00747572" w:rsidP="001F24CD">
      <w:pPr>
        <w:spacing w:after="0"/>
        <w:rPr>
          <w:rFonts w:cs="Arial"/>
          <w:b/>
          <w:color w:val="385623" w:themeColor="accent6" w:themeShade="80"/>
          <w:szCs w:val="24"/>
        </w:rPr>
      </w:pPr>
      <w:r w:rsidRPr="001F24CD">
        <w:rPr>
          <w:rFonts w:cs="Arial"/>
          <w:b/>
          <w:color w:val="385623" w:themeColor="accent6" w:themeShade="80"/>
          <w:szCs w:val="24"/>
        </w:rPr>
        <w:t>Dependencies:</w:t>
      </w:r>
    </w:p>
    <w:p w:rsidR="00747572" w:rsidRPr="00747572" w:rsidRDefault="00747572" w:rsidP="001F24CD">
      <w:pPr>
        <w:numPr>
          <w:ilvl w:val="0"/>
          <w:numId w:val="1"/>
        </w:numPr>
        <w:tabs>
          <w:tab w:val="clear" w:pos="1080"/>
          <w:tab w:val="num" w:pos="720"/>
        </w:tabs>
        <w:spacing w:after="0" w:line="240" w:lineRule="auto"/>
        <w:ind w:left="720"/>
        <w:rPr>
          <w:rFonts w:cs="Arial"/>
          <w:sz w:val="24"/>
          <w:szCs w:val="24"/>
        </w:rPr>
      </w:pPr>
      <w:r w:rsidRPr="00747572">
        <w:rPr>
          <w:rFonts w:cs="Arial"/>
          <w:sz w:val="24"/>
          <w:szCs w:val="24"/>
        </w:rPr>
        <w:t xml:space="preserve">Availability of hardware and software </w:t>
      </w:r>
      <w:r w:rsidR="001C09CE">
        <w:rPr>
          <w:rFonts w:cs="Arial"/>
          <w:sz w:val="24"/>
          <w:szCs w:val="24"/>
        </w:rPr>
        <w:t>before needed according to the schedule.</w:t>
      </w:r>
    </w:p>
    <w:p w:rsidR="00747572" w:rsidRPr="00747572" w:rsidRDefault="00747572" w:rsidP="001F24CD">
      <w:pPr>
        <w:numPr>
          <w:ilvl w:val="0"/>
          <w:numId w:val="1"/>
        </w:numPr>
        <w:tabs>
          <w:tab w:val="clear" w:pos="1080"/>
          <w:tab w:val="num" w:pos="720"/>
        </w:tabs>
        <w:spacing w:after="0" w:line="240" w:lineRule="auto"/>
        <w:ind w:left="720"/>
        <w:rPr>
          <w:rFonts w:cs="Arial"/>
          <w:sz w:val="24"/>
          <w:szCs w:val="24"/>
        </w:rPr>
      </w:pPr>
      <w:r w:rsidRPr="00747572">
        <w:rPr>
          <w:rFonts w:cs="Arial"/>
          <w:sz w:val="24"/>
          <w:szCs w:val="24"/>
        </w:rPr>
        <w:t>Availability of a business consultant.</w:t>
      </w:r>
    </w:p>
    <w:p w:rsidR="00747572" w:rsidRPr="00747572" w:rsidRDefault="00747572" w:rsidP="001F24CD">
      <w:pPr>
        <w:numPr>
          <w:ilvl w:val="0"/>
          <w:numId w:val="1"/>
        </w:numPr>
        <w:tabs>
          <w:tab w:val="clear" w:pos="1080"/>
          <w:tab w:val="num" w:pos="720"/>
        </w:tabs>
        <w:spacing w:after="0" w:line="240" w:lineRule="auto"/>
        <w:ind w:left="720"/>
        <w:rPr>
          <w:rFonts w:cs="Arial"/>
          <w:sz w:val="24"/>
          <w:szCs w:val="24"/>
        </w:rPr>
      </w:pPr>
      <w:r w:rsidRPr="00747572">
        <w:rPr>
          <w:rFonts w:cs="Arial"/>
          <w:sz w:val="24"/>
          <w:szCs w:val="24"/>
        </w:rPr>
        <w:t>Feasibility of integrating the different banking-related services depending on the technologies and platforms the services are built on.</w:t>
      </w:r>
    </w:p>
    <w:p w:rsidR="00747572" w:rsidRPr="001F24CD" w:rsidRDefault="00747572" w:rsidP="001F24CD">
      <w:pPr>
        <w:spacing w:after="0"/>
        <w:rPr>
          <w:rFonts w:cs="Arial"/>
          <w:b/>
          <w:color w:val="385623" w:themeColor="accent6" w:themeShade="80"/>
          <w:szCs w:val="24"/>
        </w:rPr>
      </w:pPr>
      <w:r w:rsidRPr="001F24CD">
        <w:rPr>
          <w:rFonts w:cs="Arial"/>
          <w:b/>
          <w:color w:val="385623" w:themeColor="accent6" w:themeShade="80"/>
          <w:szCs w:val="24"/>
        </w:rPr>
        <w:t>Constraints:</w:t>
      </w:r>
    </w:p>
    <w:p w:rsidR="00747572" w:rsidRPr="00747572" w:rsidRDefault="00747572" w:rsidP="00747572">
      <w:pPr>
        <w:numPr>
          <w:ilvl w:val="0"/>
          <w:numId w:val="2"/>
        </w:numPr>
        <w:spacing w:after="0" w:line="240" w:lineRule="auto"/>
        <w:rPr>
          <w:rFonts w:cs="Arial"/>
          <w:sz w:val="24"/>
          <w:szCs w:val="24"/>
        </w:rPr>
      </w:pPr>
      <w:r w:rsidRPr="00747572">
        <w:rPr>
          <w:rFonts w:cs="Arial"/>
          <w:sz w:val="24"/>
          <w:szCs w:val="24"/>
        </w:rPr>
        <w:t>The project completion must be on or before August 20</w:t>
      </w:r>
      <w:r w:rsidRPr="00747572">
        <w:rPr>
          <w:rFonts w:cs="Arial"/>
          <w:sz w:val="24"/>
          <w:szCs w:val="24"/>
          <w:vertAlign w:val="superscript"/>
        </w:rPr>
        <w:t>th</w:t>
      </w:r>
      <w:r w:rsidRPr="00747572">
        <w:rPr>
          <w:rFonts w:cs="Arial"/>
          <w:sz w:val="24"/>
          <w:szCs w:val="24"/>
        </w:rPr>
        <w:t>.</w:t>
      </w:r>
    </w:p>
    <w:p w:rsidR="00747572" w:rsidRDefault="00747572" w:rsidP="00CD6EDB">
      <w:pPr>
        <w:numPr>
          <w:ilvl w:val="0"/>
          <w:numId w:val="2"/>
        </w:numPr>
        <w:spacing w:after="0" w:line="240" w:lineRule="auto"/>
        <w:rPr>
          <w:rFonts w:cs="Arial"/>
          <w:sz w:val="24"/>
          <w:szCs w:val="24"/>
        </w:rPr>
      </w:pPr>
      <w:r w:rsidRPr="00747572">
        <w:rPr>
          <w:rFonts w:cs="Arial"/>
          <w:sz w:val="24"/>
          <w:szCs w:val="24"/>
        </w:rPr>
        <w:t>The project must be completed within the $1</w:t>
      </w:r>
      <w:r w:rsidR="001F24CD">
        <w:rPr>
          <w:rFonts w:cs="Arial"/>
          <w:sz w:val="24"/>
          <w:szCs w:val="24"/>
        </w:rPr>
        <w:t xml:space="preserve"> </w:t>
      </w:r>
      <w:r w:rsidRPr="00747572">
        <w:rPr>
          <w:rFonts w:cs="Arial"/>
          <w:sz w:val="24"/>
          <w:szCs w:val="24"/>
        </w:rPr>
        <w:t>million budget.</w:t>
      </w:r>
    </w:p>
    <w:p w:rsidR="00F41B91" w:rsidRPr="00747572" w:rsidRDefault="00F41B91" w:rsidP="00F41B91">
      <w:pPr>
        <w:numPr>
          <w:ilvl w:val="0"/>
          <w:numId w:val="2"/>
        </w:numPr>
        <w:spacing w:after="0" w:line="240" w:lineRule="auto"/>
        <w:rPr>
          <w:rFonts w:cs="Arial"/>
          <w:sz w:val="24"/>
          <w:szCs w:val="24"/>
        </w:rPr>
      </w:pPr>
      <w:r w:rsidRPr="00747572">
        <w:rPr>
          <w:rFonts w:cs="Arial"/>
          <w:sz w:val="24"/>
          <w:szCs w:val="24"/>
        </w:rPr>
        <w:t>Suitable subject matter experts will be made available for the integration of the banking services.</w:t>
      </w:r>
    </w:p>
    <w:p w:rsidR="00F41B91" w:rsidRPr="00747572" w:rsidRDefault="00F41B91" w:rsidP="00F41B91">
      <w:pPr>
        <w:numPr>
          <w:ilvl w:val="0"/>
          <w:numId w:val="2"/>
        </w:numPr>
        <w:spacing w:after="0" w:line="240" w:lineRule="auto"/>
        <w:rPr>
          <w:rFonts w:cs="Arial"/>
          <w:sz w:val="24"/>
          <w:szCs w:val="24"/>
        </w:rPr>
      </w:pPr>
      <w:r w:rsidRPr="00747572">
        <w:rPr>
          <w:rFonts w:cs="Arial"/>
          <w:sz w:val="24"/>
          <w:szCs w:val="24"/>
        </w:rPr>
        <w:t xml:space="preserve">Required hardware and software will be procured before </w:t>
      </w:r>
      <w:r>
        <w:rPr>
          <w:rFonts w:cs="Arial"/>
          <w:sz w:val="24"/>
          <w:szCs w:val="24"/>
        </w:rPr>
        <w:t>needed according to the schedule.</w:t>
      </w:r>
    </w:p>
    <w:p w:rsidR="00F41B91" w:rsidRPr="00F41B91" w:rsidRDefault="00F41B91" w:rsidP="00F41B91">
      <w:pPr>
        <w:numPr>
          <w:ilvl w:val="0"/>
          <w:numId w:val="2"/>
        </w:numPr>
        <w:spacing w:line="240" w:lineRule="auto"/>
        <w:rPr>
          <w:rFonts w:cs="Arial"/>
          <w:sz w:val="24"/>
          <w:szCs w:val="24"/>
        </w:rPr>
      </w:pPr>
      <w:r w:rsidRPr="00747572">
        <w:rPr>
          <w:rFonts w:cs="Arial"/>
          <w:sz w:val="24"/>
          <w:szCs w:val="24"/>
        </w:rPr>
        <w:t xml:space="preserve">Requisite project team will be recruited </w:t>
      </w:r>
      <w:r>
        <w:rPr>
          <w:rFonts w:cs="Arial"/>
          <w:sz w:val="24"/>
          <w:szCs w:val="24"/>
        </w:rPr>
        <w:t>before needed according to the schedule.</w:t>
      </w:r>
    </w:p>
    <w:p w:rsidR="00747572" w:rsidRPr="001F24CD" w:rsidRDefault="00747572" w:rsidP="001F24CD">
      <w:pPr>
        <w:spacing w:after="0"/>
        <w:rPr>
          <w:rFonts w:cs="Arial"/>
          <w:b/>
          <w:color w:val="385623" w:themeColor="accent6" w:themeShade="80"/>
          <w:szCs w:val="24"/>
        </w:rPr>
      </w:pPr>
      <w:r w:rsidRPr="001F24CD">
        <w:rPr>
          <w:rFonts w:cs="Arial"/>
          <w:b/>
          <w:color w:val="385623" w:themeColor="accent6" w:themeShade="80"/>
          <w:szCs w:val="24"/>
        </w:rPr>
        <w:t>1.3 Business need</w:t>
      </w:r>
    </w:p>
    <w:p w:rsidR="00747572" w:rsidRPr="00747572" w:rsidRDefault="00747572" w:rsidP="00747572">
      <w:pPr>
        <w:rPr>
          <w:rFonts w:cs="Arial"/>
          <w:sz w:val="24"/>
          <w:szCs w:val="24"/>
        </w:rPr>
      </w:pPr>
      <w:r w:rsidRPr="00747572">
        <w:rPr>
          <w:rFonts w:cs="Arial"/>
          <w:sz w:val="24"/>
          <w:szCs w:val="24"/>
        </w:rPr>
        <w:t xml:space="preserve">The </w:t>
      </w:r>
      <w:r w:rsidR="001F24CD">
        <w:rPr>
          <w:rFonts w:cs="Arial"/>
          <w:sz w:val="24"/>
          <w:szCs w:val="24"/>
        </w:rPr>
        <w:t>GCCG</w:t>
      </w:r>
      <w:r w:rsidRPr="00747572">
        <w:rPr>
          <w:rFonts w:cs="Arial"/>
          <w:sz w:val="24"/>
          <w:szCs w:val="24"/>
        </w:rPr>
        <w:t xml:space="preserve"> will create awareness among consumers on the services provided by the bank. The portal should enable easier access, effectively support the relationship banking experience of the consumer, enhance product acceptance, and thereby improve market share in each of the bank’s product lines.</w:t>
      </w:r>
    </w:p>
    <w:p w:rsidR="001F24CD" w:rsidRDefault="001F24CD">
      <w:pPr>
        <w:rPr>
          <w:rFonts w:eastAsiaTheme="majorEastAsia" w:cstheme="majorBidi"/>
          <w:b/>
          <w:color w:val="385623" w:themeColor="accent6" w:themeShade="80"/>
          <w:sz w:val="26"/>
          <w:szCs w:val="26"/>
        </w:rPr>
      </w:pPr>
      <w:r>
        <w:rPr>
          <w:b/>
          <w:color w:val="385623" w:themeColor="accent6" w:themeShade="80"/>
          <w:sz w:val="26"/>
          <w:szCs w:val="26"/>
        </w:rPr>
        <w:br w:type="page"/>
      </w:r>
    </w:p>
    <w:p w:rsidR="00747572" w:rsidRPr="00747572" w:rsidRDefault="00747572" w:rsidP="001F24CD">
      <w:pPr>
        <w:pStyle w:val="Heading1"/>
        <w:spacing w:before="120"/>
        <w:rPr>
          <w:rFonts w:asciiTheme="minorHAnsi" w:hAnsiTheme="minorHAnsi"/>
          <w:b/>
          <w:color w:val="385623" w:themeColor="accent6" w:themeShade="80"/>
          <w:sz w:val="26"/>
          <w:szCs w:val="26"/>
        </w:rPr>
      </w:pPr>
      <w:r w:rsidRPr="00747572">
        <w:rPr>
          <w:rFonts w:asciiTheme="minorHAnsi" w:hAnsiTheme="minorHAnsi"/>
          <w:b/>
          <w:color w:val="385623" w:themeColor="accent6" w:themeShade="80"/>
          <w:sz w:val="26"/>
          <w:szCs w:val="26"/>
        </w:rPr>
        <w:lastRenderedPageBreak/>
        <w:t>2. General information</w:t>
      </w:r>
    </w:p>
    <w:p w:rsidR="00747572" w:rsidRPr="001F24CD" w:rsidRDefault="00747572" w:rsidP="001F24CD">
      <w:pPr>
        <w:spacing w:after="0"/>
        <w:rPr>
          <w:rFonts w:cs="Arial"/>
          <w:b/>
          <w:color w:val="385623" w:themeColor="accent6" w:themeShade="80"/>
          <w:szCs w:val="24"/>
        </w:rPr>
      </w:pPr>
      <w:bookmarkStart w:id="3" w:name="_Toc229473698"/>
      <w:r w:rsidRPr="001F24CD">
        <w:rPr>
          <w:rFonts w:cs="Arial"/>
          <w:b/>
          <w:color w:val="385623" w:themeColor="accent6" w:themeShade="80"/>
          <w:szCs w:val="24"/>
        </w:rPr>
        <w:t>2.1 Challenge/Opportunity</w:t>
      </w:r>
      <w:bookmarkEnd w:id="3"/>
    </w:p>
    <w:p w:rsidR="00747572" w:rsidRPr="00747572" w:rsidRDefault="00747572" w:rsidP="00747572">
      <w:pPr>
        <w:rPr>
          <w:rFonts w:cs="Arial"/>
          <w:sz w:val="24"/>
          <w:szCs w:val="24"/>
        </w:rPr>
      </w:pPr>
      <w:r w:rsidRPr="00747572">
        <w:rPr>
          <w:rFonts w:cs="Arial"/>
          <w:sz w:val="24"/>
          <w:szCs w:val="24"/>
        </w:rPr>
        <w:t>The coordination of numerous resources required for the successful execution of this project and the integration of the various technologies to build the new portal.</w:t>
      </w:r>
    </w:p>
    <w:p w:rsidR="00747572" w:rsidRPr="001F24CD" w:rsidRDefault="00747572" w:rsidP="001F24CD">
      <w:pPr>
        <w:spacing w:after="0"/>
        <w:rPr>
          <w:rFonts w:cs="Arial"/>
          <w:b/>
          <w:color w:val="385623" w:themeColor="accent6" w:themeShade="80"/>
          <w:szCs w:val="24"/>
        </w:rPr>
      </w:pPr>
      <w:bookmarkStart w:id="4" w:name="_Toc229473699"/>
      <w:r w:rsidRPr="001F24CD">
        <w:rPr>
          <w:rFonts w:cs="Arial"/>
          <w:b/>
          <w:color w:val="385623" w:themeColor="accent6" w:themeShade="80"/>
          <w:szCs w:val="24"/>
        </w:rPr>
        <w:t>2.2 Feature/Project description</w:t>
      </w:r>
      <w:bookmarkEnd w:id="4"/>
    </w:p>
    <w:p w:rsidR="00747572" w:rsidRPr="00747572" w:rsidRDefault="00747572" w:rsidP="001F24CD">
      <w:pPr>
        <w:spacing w:after="0"/>
        <w:rPr>
          <w:rFonts w:cs="Arial"/>
          <w:sz w:val="24"/>
          <w:szCs w:val="24"/>
        </w:rPr>
      </w:pPr>
      <w:r w:rsidRPr="00747572">
        <w:rPr>
          <w:rFonts w:cs="Arial"/>
          <w:sz w:val="24"/>
          <w:szCs w:val="24"/>
        </w:rPr>
        <w:t xml:space="preserve">The </w:t>
      </w:r>
      <w:r w:rsidR="001F24CD">
        <w:rPr>
          <w:rFonts w:cs="Arial"/>
          <w:sz w:val="24"/>
          <w:szCs w:val="24"/>
        </w:rPr>
        <w:t>GCCG</w:t>
      </w:r>
      <w:r w:rsidRPr="00747572">
        <w:rPr>
          <w:rFonts w:cs="Arial"/>
          <w:sz w:val="24"/>
          <w:szCs w:val="24"/>
        </w:rPr>
        <w:t xml:space="preserve"> project will provide the following features as components in the project:</w:t>
      </w:r>
    </w:p>
    <w:p w:rsidR="00747572" w:rsidRPr="00747572" w:rsidRDefault="00747572" w:rsidP="00747572">
      <w:pPr>
        <w:numPr>
          <w:ilvl w:val="0"/>
          <w:numId w:val="2"/>
        </w:numPr>
        <w:spacing w:after="0" w:line="240" w:lineRule="auto"/>
        <w:rPr>
          <w:sz w:val="24"/>
          <w:szCs w:val="24"/>
        </w:rPr>
      </w:pPr>
      <w:r w:rsidRPr="00747572">
        <w:rPr>
          <w:sz w:val="24"/>
          <w:szCs w:val="24"/>
        </w:rPr>
        <w:t>Single-sign-on and authenticated access to the consumer e-banking portal</w:t>
      </w:r>
      <w:r w:rsidR="00F13F17">
        <w:rPr>
          <w:sz w:val="24"/>
          <w:szCs w:val="24"/>
        </w:rPr>
        <w:t>.</w:t>
      </w:r>
    </w:p>
    <w:p w:rsidR="00747572" w:rsidRPr="00747572" w:rsidRDefault="00747572" w:rsidP="00747572">
      <w:pPr>
        <w:numPr>
          <w:ilvl w:val="0"/>
          <w:numId w:val="2"/>
        </w:numPr>
        <w:spacing w:after="0" w:line="240" w:lineRule="auto"/>
        <w:rPr>
          <w:sz w:val="24"/>
          <w:szCs w:val="24"/>
        </w:rPr>
      </w:pPr>
      <w:r w:rsidRPr="00747572">
        <w:rPr>
          <w:sz w:val="24"/>
          <w:szCs w:val="24"/>
        </w:rPr>
        <w:t>Integration of banking services</w:t>
      </w:r>
      <w:r w:rsidR="00F13F17">
        <w:rPr>
          <w:sz w:val="24"/>
          <w:szCs w:val="24"/>
        </w:rPr>
        <w:t>.</w:t>
      </w:r>
      <w:bookmarkStart w:id="5" w:name="_GoBack"/>
      <w:bookmarkEnd w:id="5"/>
    </w:p>
    <w:p w:rsidR="00747572" w:rsidRPr="00747572" w:rsidRDefault="00747572" w:rsidP="00747572">
      <w:pPr>
        <w:numPr>
          <w:ilvl w:val="0"/>
          <w:numId w:val="2"/>
        </w:numPr>
        <w:spacing w:after="0" w:line="240" w:lineRule="auto"/>
        <w:rPr>
          <w:sz w:val="24"/>
          <w:szCs w:val="24"/>
        </w:rPr>
      </w:pPr>
      <w:r w:rsidRPr="00747572">
        <w:rPr>
          <w:sz w:val="24"/>
          <w:szCs w:val="24"/>
        </w:rPr>
        <w:t>Response time during transactions to be in the bandwidth of zero to four seconds.</w:t>
      </w:r>
    </w:p>
    <w:p w:rsidR="00747572" w:rsidRPr="001F24CD" w:rsidRDefault="00747572" w:rsidP="001F24CD">
      <w:pPr>
        <w:spacing w:before="240" w:after="0"/>
        <w:rPr>
          <w:rFonts w:cs="Arial"/>
          <w:b/>
          <w:color w:val="385623" w:themeColor="accent6" w:themeShade="80"/>
          <w:szCs w:val="24"/>
        </w:rPr>
      </w:pPr>
      <w:r w:rsidRPr="001F24CD">
        <w:rPr>
          <w:rFonts w:cs="Arial"/>
          <w:b/>
          <w:color w:val="385623" w:themeColor="accent6" w:themeShade="80"/>
          <w:szCs w:val="24"/>
        </w:rPr>
        <w:t>2.3 Project objectives</w:t>
      </w:r>
    </w:p>
    <w:p w:rsidR="00747572" w:rsidRPr="00747572" w:rsidRDefault="00747572" w:rsidP="00747572">
      <w:pPr>
        <w:rPr>
          <w:rFonts w:cs="Arial"/>
          <w:sz w:val="24"/>
          <w:szCs w:val="24"/>
        </w:rPr>
      </w:pPr>
      <w:r w:rsidRPr="00747572">
        <w:rPr>
          <w:rFonts w:cs="Arial"/>
          <w:sz w:val="24"/>
          <w:szCs w:val="24"/>
        </w:rPr>
        <w:t>The e-banking portal project will develop a new consumer portal that will integrate all banking-related services through a single-sign on feature to customers of the bank. Currently the services of the bank are developed through independent applications running under varied software technologies and computer platforms. This new portal will ensure that these applications and hardware networks will seamlessly integrate and provide services through a single window to the customer.</w:t>
      </w:r>
    </w:p>
    <w:p w:rsidR="00747572" w:rsidRPr="00747572" w:rsidRDefault="00747572" w:rsidP="001F24CD">
      <w:pPr>
        <w:pStyle w:val="Heading1"/>
        <w:spacing w:before="120"/>
        <w:rPr>
          <w:rFonts w:asciiTheme="minorHAnsi" w:hAnsiTheme="minorHAnsi"/>
          <w:b/>
          <w:color w:val="385623" w:themeColor="accent6" w:themeShade="80"/>
          <w:sz w:val="26"/>
          <w:szCs w:val="26"/>
        </w:rPr>
      </w:pPr>
      <w:r w:rsidRPr="00747572">
        <w:rPr>
          <w:rFonts w:asciiTheme="minorHAnsi" w:hAnsiTheme="minorHAnsi"/>
          <w:b/>
          <w:color w:val="385623" w:themeColor="accent6" w:themeShade="80"/>
          <w:sz w:val="26"/>
          <w:szCs w:val="26"/>
        </w:rPr>
        <w:t>3. Detailed requirements</w:t>
      </w:r>
    </w:p>
    <w:p w:rsidR="00747572" w:rsidRPr="001F24CD" w:rsidRDefault="00747572" w:rsidP="001F24CD">
      <w:pPr>
        <w:spacing w:after="0"/>
        <w:rPr>
          <w:rFonts w:cs="Arial"/>
          <w:b/>
          <w:color w:val="385623" w:themeColor="accent6" w:themeShade="80"/>
          <w:szCs w:val="24"/>
        </w:rPr>
      </w:pPr>
      <w:r w:rsidRPr="001F24CD">
        <w:rPr>
          <w:rFonts w:cs="Arial"/>
          <w:b/>
          <w:color w:val="385623" w:themeColor="accent6" w:themeShade="80"/>
          <w:szCs w:val="24"/>
        </w:rPr>
        <w:t>3.1 Common requirements</w:t>
      </w:r>
    </w:p>
    <w:p w:rsidR="00747572" w:rsidRPr="00747572" w:rsidRDefault="00747572" w:rsidP="001F24CD">
      <w:pPr>
        <w:spacing w:after="0"/>
        <w:rPr>
          <w:rFonts w:cs="Arial"/>
          <w:sz w:val="24"/>
          <w:szCs w:val="24"/>
        </w:rPr>
      </w:pPr>
      <w:r w:rsidRPr="00747572">
        <w:rPr>
          <w:rFonts w:cs="Arial"/>
          <w:sz w:val="24"/>
          <w:szCs w:val="24"/>
        </w:rPr>
        <w:t xml:space="preserve">The common requirements for the </w:t>
      </w:r>
      <w:r w:rsidR="001F24CD">
        <w:rPr>
          <w:rFonts w:cs="Arial"/>
          <w:sz w:val="24"/>
          <w:szCs w:val="24"/>
        </w:rPr>
        <w:t>GCCG</w:t>
      </w:r>
      <w:r w:rsidRPr="00747572">
        <w:rPr>
          <w:rFonts w:cs="Arial"/>
          <w:sz w:val="24"/>
          <w:szCs w:val="24"/>
        </w:rPr>
        <w:t xml:space="preserve"> project are:</w:t>
      </w:r>
    </w:p>
    <w:p w:rsidR="00747572" w:rsidRPr="00747572" w:rsidRDefault="00747572" w:rsidP="00747572">
      <w:pPr>
        <w:numPr>
          <w:ilvl w:val="0"/>
          <w:numId w:val="2"/>
        </w:numPr>
        <w:spacing w:after="0" w:line="240" w:lineRule="auto"/>
        <w:rPr>
          <w:rFonts w:cs="Arial"/>
          <w:sz w:val="24"/>
          <w:szCs w:val="24"/>
        </w:rPr>
      </w:pPr>
      <w:r w:rsidRPr="00747572">
        <w:rPr>
          <w:rFonts w:cs="Arial"/>
          <w:sz w:val="24"/>
          <w:szCs w:val="24"/>
        </w:rPr>
        <w:t>Hardware and software as per the requirements of the project.</w:t>
      </w:r>
    </w:p>
    <w:p w:rsidR="00747572" w:rsidRPr="00747572" w:rsidRDefault="00747572" w:rsidP="00747572">
      <w:pPr>
        <w:numPr>
          <w:ilvl w:val="0"/>
          <w:numId w:val="2"/>
        </w:numPr>
        <w:spacing w:after="0" w:line="240" w:lineRule="auto"/>
        <w:rPr>
          <w:rFonts w:cs="Arial"/>
          <w:sz w:val="24"/>
          <w:szCs w:val="24"/>
        </w:rPr>
      </w:pPr>
      <w:r w:rsidRPr="00747572">
        <w:rPr>
          <w:rFonts w:cs="Arial"/>
          <w:sz w:val="24"/>
          <w:szCs w:val="24"/>
        </w:rPr>
        <w:t>Computer systems and relevant software installation.</w:t>
      </w:r>
    </w:p>
    <w:p w:rsidR="00747572" w:rsidRPr="00747572" w:rsidRDefault="00747572" w:rsidP="00747572">
      <w:pPr>
        <w:numPr>
          <w:ilvl w:val="0"/>
          <w:numId w:val="2"/>
        </w:numPr>
        <w:spacing w:after="0" w:line="240" w:lineRule="auto"/>
        <w:rPr>
          <w:rFonts w:cs="Arial"/>
          <w:sz w:val="24"/>
          <w:szCs w:val="24"/>
        </w:rPr>
      </w:pPr>
      <w:r w:rsidRPr="00747572">
        <w:rPr>
          <w:rFonts w:cs="Arial"/>
          <w:sz w:val="24"/>
          <w:szCs w:val="24"/>
        </w:rPr>
        <w:t>Interconnectivity of the development teams with the network services of the bank.</w:t>
      </w:r>
    </w:p>
    <w:p w:rsidR="00747572" w:rsidRPr="001F24CD" w:rsidRDefault="00747572" w:rsidP="001F24CD">
      <w:pPr>
        <w:spacing w:before="240" w:after="0"/>
        <w:rPr>
          <w:rFonts w:cs="Arial"/>
          <w:b/>
          <w:color w:val="385623" w:themeColor="accent6" w:themeShade="80"/>
          <w:szCs w:val="24"/>
        </w:rPr>
      </w:pPr>
      <w:r w:rsidRPr="001F24CD">
        <w:rPr>
          <w:rFonts w:cs="Arial"/>
          <w:b/>
          <w:color w:val="385623" w:themeColor="accent6" w:themeShade="80"/>
          <w:szCs w:val="24"/>
        </w:rPr>
        <w:t>3.2 Business requirements</w:t>
      </w:r>
    </w:p>
    <w:p w:rsidR="00747572" w:rsidRPr="00747572" w:rsidRDefault="00747572" w:rsidP="001F24CD">
      <w:pPr>
        <w:spacing w:after="0"/>
        <w:rPr>
          <w:rFonts w:cs="Arial"/>
          <w:sz w:val="24"/>
          <w:szCs w:val="24"/>
        </w:rPr>
      </w:pPr>
      <w:r w:rsidRPr="00747572">
        <w:rPr>
          <w:rFonts w:cs="Arial"/>
          <w:sz w:val="24"/>
          <w:szCs w:val="24"/>
        </w:rPr>
        <w:t>The e-banking portal project will provide the bank with:</w:t>
      </w:r>
    </w:p>
    <w:p w:rsidR="00747572" w:rsidRPr="00747572" w:rsidRDefault="00747572" w:rsidP="00747572">
      <w:pPr>
        <w:numPr>
          <w:ilvl w:val="0"/>
          <w:numId w:val="3"/>
        </w:numPr>
        <w:spacing w:after="0" w:line="240" w:lineRule="auto"/>
        <w:rPr>
          <w:rFonts w:cs="Arial"/>
          <w:sz w:val="24"/>
          <w:szCs w:val="24"/>
        </w:rPr>
      </w:pPr>
      <w:r w:rsidRPr="00747572">
        <w:rPr>
          <w:rFonts w:cs="Arial"/>
          <w:sz w:val="24"/>
          <w:szCs w:val="24"/>
        </w:rPr>
        <w:t>An integrated banking service.</w:t>
      </w:r>
    </w:p>
    <w:p w:rsidR="00747572" w:rsidRPr="00747572" w:rsidRDefault="00747572" w:rsidP="00747572">
      <w:pPr>
        <w:numPr>
          <w:ilvl w:val="0"/>
          <w:numId w:val="3"/>
        </w:numPr>
        <w:spacing w:after="0" w:line="240" w:lineRule="auto"/>
        <w:rPr>
          <w:rFonts w:cs="Arial"/>
          <w:sz w:val="24"/>
          <w:szCs w:val="24"/>
        </w:rPr>
      </w:pPr>
      <w:r w:rsidRPr="00747572">
        <w:rPr>
          <w:rFonts w:cs="Arial"/>
          <w:sz w:val="24"/>
          <w:szCs w:val="24"/>
        </w:rPr>
        <w:t>A single-sign-on authentication to the web portal.</w:t>
      </w:r>
    </w:p>
    <w:p w:rsidR="00747572" w:rsidRPr="00747572" w:rsidRDefault="00747572" w:rsidP="00747572">
      <w:pPr>
        <w:numPr>
          <w:ilvl w:val="0"/>
          <w:numId w:val="3"/>
        </w:numPr>
        <w:spacing w:after="0" w:line="240" w:lineRule="auto"/>
        <w:rPr>
          <w:rFonts w:cs="Arial"/>
          <w:sz w:val="24"/>
          <w:szCs w:val="24"/>
        </w:rPr>
      </w:pPr>
      <w:r w:rsidRPr="00747572">
        <w:rPr>
          <w:rFonts w:cs="Arial"/>
          <w:sz w:val="24"/>
          <w:szCs w:val="24"/>
        </w:rPr>
        <w:t>Seamless integration of transactions between interrelated services.</w:t>
      </w:r>
    </w:p>
    <w:p w:rsidR="00747572" w:rsidRPr="00747572" w:rsidRDefault="00747572" w:rsidP="00747572">
      <w:pPr>
        <w:numPr>
          <w:ilvl w:val="0"/>
          <w:numId w:val="3"/>
        </w:numPr>
        <w:spacing w:after="0" w:line="240" w:lineRule="auto"/>
        <w:rPr>
          <w:sz w:val="24"/>
          <w:szCs w:val="24"/>
        </w:rPr>
      </w:pPr>
      <w:r w:rsidRPr="00747572">
        <w:rPr>
          <w:rFonts w:cs="Arial"/>
          <w:sz w:val="24"/>
          <w:szCs w:val="24"/>
        </w:rPr>
        <w:t>Ability to analyze customer data based on transactions.</w:t>
      </w:r>
    </w:p>
    <w:p w:rsidR="00747572" w:rsidRPr="00747572" w:rsidRDefault="00747572" w:rsidP="00747572">
      <w:pPr>
        <w:numPr>
          <w:ilvl w:val="0"/>
          <w:numId w:val="3"/>
        </w:numPr>
        <w:spacing w:after="0" w:line="240" w:lineRule="auto"/>
        <w:rPr>
          <w:sz w:val="24"/>
          <w:szCs w:val="24"/>
        </w:rPr>
      </w:pPr>
      <w:r w:rsidRPr="00747572">
        <w:rPr>
          <w:sz w:val="24"/>
          <w:szCs w:val="24"/>
        </w:rPr>
        <w:t>Response time during transactions in the portal to be in the range of zero to four seconds.</w:t>
      </w:r>
    </w:p>
    <w:p w:rsidR="00747572" w:rsidRPr="00747572" w:rsidRDefault="00747572" w:rsidP="00747572">
      <w:pPr>
        <w:numPr>
          <w:ilvl w:val="0"/>
          <w:numId w:val="3"/>
        </w:numPr>
        <w:spacing w:after="0" w:line="240" w:lineRule="auto"/>
        <w:rPr>
          <w:sz w:val="24"/>
          <w:szCs w:val="24"/>
        </w:rPr>
      </w:pPr>
      <w:r w:rsidRPr="00747572">
        <w:rPr>
          <w:sz w:val="24"/>
          <w:szCs w:val="24"/>
        </w:rPr>
        <w:t>Statistics on service acceptability and usage.</w:t>
      </w:r>
    </w:p>
    <w:p w:rsidR="00747572" w:rsidRPr="00747572" w:rsidRDefault="00747572" w:rsidP="00747572">
      <w:pPr>
        <w:numPr>
          <w:ilvl w:val="0"/>
          <w:numId w:val="3"/>
        </w:numPr>
        <w:spacing w:after="0" w:line="240" w:lineRule="auto"/>
        <w:rPr>
          <w:rFonts w:cs="Arial"/>
          <w:sz w:val="24"/>
          <w:szCs w:val="24"/>
        </w:rPr>
      </w:pPr>
      <w:r w:rsidRPr="00747572">
        <w:rPr>
          <w:sz w:val="24"/>
          <w:szCs w:val="24"/>
        </w:rPr>
        <w:t>Accurate data and volume forecasts in banking transactions.</w:t>
      </w:r>
    </w:p>
    <w:p w:rsidR="00747572" w:rsidRPr="001F24CD" w:rsidRDefault="00747572" w:rsidP="001F24CD">
      <w:pPr>
        <w:spacing w:before="240" w:after="0"/>
        <w:rPr>
          <w:rFonts w:cs="Arial"/>
          <w:b/>
          <w:color w:val="385623" w:themeColor="accent6" w:themeShade="80"/>
          <w:szCs w:val="24"/>
        </w:rPr>
      </w:pPr>
      <w:r w:rsidRPr="001F24CD">
        <w:rPr>
          <w:rFonts w:cs="Arial"/>
          <w:b/>
          <w:color w:val="385623" w:themeColor="accent6" w:themeShade="80"/>
          <w:szCs w:val="24"/>
        </w:rPr>
        <w:t>3.3 Other requirements</w:t>
      </w:r>
    </w:p>
    <w:p w:rsidR="00747572" w:rsidRPr="00747572" w:rsidRDefault="00747572" w:rsidP="001F24CD">
      <w:pPr>
        <w:spacing w:after="0"/>
        <w:rPr>
          <w:rFonts w:cs="Arial"/>
          <w:sz w:val="24"/>
          <w:szCs w:val="24"/>
        </w:rPr>
      </w:pPr>
      <w:r w:rsidRPr="00747572">
        <w:rPr>
          <w:rFonts w:cs="Arial"/>
          <w:sz w:val="24"/>
          <w:szCs w:val="24"/>
        </w:rPr>
        <w:t xml:space="preserve">Other requirements of the </w:t>
      </w:r>
      <w:r w:rsidR="001F24CD">
        <w:rPr>
          <w:rFonts w:cs="Arial"/>
          <w:sz w:val="24"/>
          <w:szCs w:val="24"/>
        </w:rPr>
        <w:t>GCCG</w:t>
      </w:r>
      <w:r w:rsidRPr="00747572">
        <w:rPr>
          <w:rFonts w:cs="Arial"/>
          <w:sz w:val="24"/>
          <w:szCs w:val="24"/>
        </w:rPr>
        <w:t xml:space="preserve"> project include:</w:t>
      </w:r>
    </w:p>
    <w:p w:rsidR="00747572" w:rsidRPr="00747572" w:rsidRDefault="00747572" w:rsidP="00747572">
      <w:pPr>
        <w:numPr>
          <w:ilvl w:val="0"/>
          <w:numId w:val="2"/>
        </w:numPr>
        <w:spacing w:after="0" w:line="240" w:lineRule="auto"/>
        <w:rPr>
          <w:rFonts w:cs="Arial"/>
          <w:sz w:val="24"/>
          <w:szCs w:val="24"/>
        </w:rPr>
      </w:pPr>
      <w:r w:rsidRPr="00747572">
        <w:rPr>
          <w:rFonts w:cs="Arial"/>
          <w:sz w:val="24"/>
          <w:szCs w:val="24"/>
        </w:rPr>
        <w:t>Resources such as facilities, infrastructure, and a network for the development team.</w:t>
      </w:r>
    </w:p>
    <w:p w:rsidR="00747572" w:rsidRPr="00747572" w:rsidRDefault="00747572" w:rsidP="00747572">
      <w:pPr>
        <w:numPr>
          <w:ilvl w:val="0"/>
          <w:numId w:val="2"/>
        </w:numPr>
        <w:spacing w:after="0" w:line="240" w:lineRule="auto"/>
        <w:rPr>
          <w:rFonts w:cs="Arial"/>
          <w:sz w:val="24"/>
          <w:szCs w:val="24"/>
        </w:rPr>
      </w:pPr>
      <w:r w:rsidRPr="00747572">
        <w:rPr>
          <w:rFonts w:cs="Arial"/>
          <w:sz w:val="24"/>
          <w:szCs w:val="24"/>
        </w:rPr>
        <w:t>Identification of the recruitment requirements for the execution of the project.</w:t>
      </w:r>
    </w:p>
    <w:p w:rsidR="00747572" w:rsidRPr="00747572" w:rsidRDefault="00747572" w:rsidP="00747572">
      <w:pPr>
        <w:numPr>
          <w:ilvl w:val="0"/>
          <w:numId w:val="2"/>
        </w:numPr>
        <w:spacing w:after="0" w:line="240" w:lineRule="auto"/>
        <w:rPr>
          <w:rFonts w:cs="Arial"/>
          <w:sz w:val="24"/>
          <w:szCs w:val="24"/>
        </w:rPr>
      </w:pPr>
      <w:r w:rsidRPr="00747572">
        <w:rPr>
          <w:rFonts w:cs="Arial"/>
          <w:sz w:val="24"/>
          <w:szCs w:val="24"/>
        </w:rPr>
        <w:t>Identification of the advertising requirements related to the portal rollout.</w:t>
      </w:r>
    </w:p>
    <w:p w:rsidR="00747572" w:rsidRPr="00747572" w:rsidRDefault="00747572" w:rsidP="00747572">
      <w:pPr>
        <w:numPr>
          <w:ilvl w:val="0"/>
          <w:numId w:val="2"/>
        </w:numPr>
        <w:spacing w:after="0" w:line="240" w:lineRule="auto"/>
        <w:rPr>
          <w:rFonts w:cs="Arial"/>
          <w:sz w:val="24"/>
          <w:szCs w:val="24"/>
        </w:rPr>
      </w:pPr>
      <w:r w:rsidRPr="00747572">
        <w:rPr>
          <w:rFonts w:cs="Arial"/>
          <w:sz w:val="24"/>
          <w:szCs w:val="24"/>
        </w:rPr>
        <w:t>Identification of training requirements for the project teams.</w:t>
      </w:r>
    </w:p>
    <w:p w:rsidR="00B0783A" w:rsidRPr="001F24CD" w:rsidRDefault="00747572" w:rsidP="001F24CD">
      <w:pPr>
        <w:numPr>
          <w:ilvl w:val="0"/>
          <w:numId w:val="2"/>
        </w:numPr>
        <w:spacing w:after="0" w:line="240" w:lineRule="auto"/>
        <w:rPr>
          <w:rFonts w:cs="Arial"/>
          <w:sz w:val="24"/>
          <w:szCs w:val="24"/>
        </w:rPr>
      </w:pPr>
      <w:r w:rsidRPr="00747572">
        <w:rPr>
          <w:rFonts w:cs="Arial"/>
          <w:sz w:val="24"/>
          <w:szCs w:val="24"/>
        </w:rPr>
        <w:t>Communication requirements of the development teams and the respective service departments of the bank.</w:t>
      </w:r>
    </w:p>
    <w:sectPr w:rsidR="00B0783A" w:rsidRPr="001F24CD" w:rsidSect="001F24CD">
      <w:footerReference w:type="default" r:id="rId8"/>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D8C" w:rsidRDefault="003F1D8C" w:rsidP="00AA3831">
      <w:pPr>
        <w:spacing w:after="0" w:line="240" w:lineRule="auto"/>
      </w:pPr>
      <w:r>
        <w:separator/>
      </w:r>
    </w:p>
  </w:endnote>
  <w:endnote w:type="continuationSeparator" w:id="0">
    <w:p w:rsidR="003F1D8C" w:rsidRDefault="003F1D8C" w:rsidP="00AA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327356"/>
      <w:docPartObj>
        <w:docPartGallery w:val="Page Numbers (Bottom of Page)"/>
        <w:docPartUnique/>
      </w:docPartObj>
    </w:sdtPr>
    <w:sdtEndPr/>
    <w:sdtContent>
      <w:sdt>
        <w:sdtPr>
          <w:id w:val="-664776521"/>
          <w:docPartObj>
            <w:docPartGallery w:val="Page Numbers (Top of Page)"/>
            <w:docPartUnique/>
          </w:docPartObj>
        </w:sdtPr>
        <w:sdtEndPr/>
        <w:sdtContent>
          <w:p w:rsidR="00AA3831" w:rsidRDefault="00AA3831" w:rsidP="0074757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9729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97296">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D8C" w:rsidRDefault="003F1D8C" w:rsidP="00AA3831">
      <w:pPr>
        <w:spacing w:after="0" w:line="240" w:lineRule="auto"/>
      </w:pPr>
      <w:r>
        <w:separator/>
      </w:r>
    </w:p>
  </w:footnote>
  <w:footnote w:type="continuationSeparator" w:id="0">
    <w:p w:rsidR="003F1D8C" w:rsidRDefault="003F1D8C" w:rsidP="00AA3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31150"/>
    <w:multiLevelType w:val="hybridMultilevel"/>
    <w:tmpl w:val="A56470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2E50CF"/>
    <w:multiLevelType w:val="hybridMultilevel"/>
    <w:tmpl w:val="A4024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DD43A9"/>
    <w:multiLevelType w:val="hybridMultilevel"/>
    <w:tmpl w:val="6B1A635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831"/>
    <w:rsid w:val="00142D0C"/>
    <w:rsid w:val="001C09CE"/>
    <w:rsid w:val="001F24CD"/>
    <w:rsid w:val="0022621A"/>
    <w:rsid w:val="002E3411"/>
    <w:rsid w:val="003F1D8C"/>
    <w:rsid w:val="00497296"/>
    <w:rsid w:val="006A5243"/>
    <w:rsid w:val="00747572"/>
    <w:rsid w:val="008E40EC"/>
    <w:rsid w:val="008E67B0"/>
    <w:rsid w:val="00AA3831"/>
    <w:rsid w:val="00B0783A"/>
    <w:rsid w:val="00BC0D94"/>
    <w:rsid w:val="00CD6EDB"/>
    <w:rsid w:val="00D81947"/>
    <w:rsid w:val="00F13F17"/>
    <w:rsid w:val="00F34405"/>
    <w:rsid w:val="00F41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D98E"/>
  <w15:chartTrackingRefBased/>
  <w15:docId w15:val="{58E1247C-2DE7-49C2-91CD-FF61A4F9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2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75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831"/>
  </w:style>
  <w:style w:type="paragraph" w:styleId="Footer">
    <w:name w:val="footer"/>
    <w:basedOn w:val="Normal"/>
    <w:link w:val="FooterChar"/>
    <w:uiPriority w:val="99"/>
    <w:unhideWhenUsed/>
    <w:rsid w:val="00AA3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831"/>
  </w:style>
  <w:style w:type="character" w:customStyle="1" w:styleId="Heading1Char">
    <w:name w:val="Heading 1 Char"/>
    <w:basedOn w:val="DefaultParagraphFont"/>
    <w:link w:val="Heading1"/>
    <w:uiPriority w:val="9"/>
    <w:rsid w:val="006A524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A5243"/>
    <w:pPr>
      <w:spacing w:after="0" w:line="240" w:lineRule="auto"/>
    </w:pPr>
  </w:style>
  <w:style w:type="character" w:customStyle="1" w:styleId="Heading2Char">
    <w:name w:val="Heading 2 Char"/>
    <w:basedOn w:val="DefaultParagraphFont"/>
    <w:link w:val="Heading2"/>
    <w:uiPriority w:val="9"/>
    <w:rsid w:val="0074757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Perry</dc:creator>
  <cp:keywords/>
  <dc:description/>
  <cp:lastModifiedBy>Peter B</cp:lastModifiedBy>
  <cp:revision>9</cp:revision>
  <dcterms:created xsi:type="dcterms:W3CDTF">2016-09-19T18:14:00Z</dcterms:created>
  <dcterms:modified xsi:type="dcterms:W3CDTF">2017-02-17T02:26:00Z</dcterms:modified>
</cp:coreProperties>
</file>