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A1CF7" w14:textId="6D1F9D3C" w:rsidR="00B22A94" w:rsidRPr="005F6BDB" w:rsidRDefault="005F6BDB" w:rsidP="005F6BDB">
      <w:pPr>
        <w:pStyle w:val="Heading1"/>
        <w:rPr>
          <w:rFonts w:ascii="Arial" w:hAnsi="Arial" w:cs="Arial"/>
          <w:lang w:val="en-US"/>
        </w:rPr>
      </w:pPr>
      <w:r w:rsidRPr="005F6BDB">
        <w:rPr>
          <w:rFonts w:ascii="Arial" w:hAnsi="Arial" w:cs="Arial"/>
          <w:lang w:val="en-US"/>
        </w:rPr>
        <w:t>Description of Scenarios</w:t>
      </w:r>
    </w:p>
    <w:tbl>
      <w:tblPr>
        <w:tblStyle w:val="PlainTable5"/>
        <w:tblW w:w="0" w:type="auto"/>
        <w:tblLook w:val="04A0" w:firstRow="1" w:lastRow="0" w:firstColumn="1" w:lastColumn="0" w:noHBand="0" w:noVBand="1"/>
      </w:tblPr>
      <w:tblGrid>
        <w:gridCol w:w="993"/>
        <w:gridCol w:w="2011"/>
        <w:gridCol w:w="1816"/>
        <w:gridCol w:w="1374"/>
        <w:gridCol w:w="1319"/>
        <w:gridCol w:w="1503"/>
      </w:tblGrid>
      <w:tr w:rsidR="005F6BDB" w14:paraId="76855382" w14:textId="77777777" w:rsidTr="00BF77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14A43464" w14:textId="77777777" w:rsidR="005F6BDB" w:rsidRPr="0080359E" w:rsidRDefault="005F6BDB" w:rsidP="00BF7718">
            <w:pPr>
              <w:rPr>
                <w:rFonts w:ascii="Arial" w:eastAsiaTheme="minorEastAsia" w:hAnsi="Arial" w:cs="Arial"/>
                <w:i w:val="0"/>
                <w:iCs w:val="0"/>
                <w:sz w:val="16"/>
                <w:szCs w:val="12"/>
                <w:lang w:val="en-US"/>
              </w:rPr>
            </w:pPr>
          </w:p>
        </w:tc>
        <w:tc>
          <w:tcPr>
            <w:tcW w:w="2011" w:type="dxa"/>
            <w:vAlign w:val="center"/>
          </w:tcPr>
          <w:p w14:paraId="7A7AAC27" w14:textId="34727684" w:rsidR="005F6BDB" w:rsidRPr="0080359E" w:rsidRDefault="005F6BDB" w:rsidP="00BF771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i w:val="0"/>
                <w:iCs w:val="0"/>
                <w:sz w:val="16"/>
                <w:szCs w:val="12"/>
                <w:lang w:val="en-US"/>
              </w:rPr>
            </w:pPr>
            <w:r>
              <w:rPr>
                <w:rFonts w:ascii="Arial" w:eastAsiaTheme="minorEastAsia" w:hAnsi="Arial" w:cs="Arial"/>
                <w:b/>
                <w:bCs/>
                <w:i w:val="0"/>
                <w:iCs w:val="0"/>
                <w:sz w:val="16"/>
                <w:szCs w:val="12"/>
                <w:lang w:val="en-US"/>
              </w:rPr>
              <w:t xml:space="preserve">IE </w:t>
            </w:r>
            <w:r w:rsidRPr="0080359E">
              <w:rPr>
                <w:rFonts w:ascii="Arial" w:eastAsiaTheme="minorEastAsia" w:hAnsi="Arial" w:cs="Arial"/>
                <w:b/>
                <w:bCs/>
                <w:i w:val="0"/>
                <w:iCs w:val="0"/>
                <w:sz w:val="16"/>
                <w:szCs w:val="12"/>
                <w:lang w:val="en-US"/>
              </w:rPr>
              <w:t>Duration of pathogen spread</w:t>
            </w:r>
          </w:p>
        </w:tc>
        <w:tc>
          <w:tcPr>
            <w:tcW w:w="1816" w:type="dxa"/>
            <w:vAlign w:val="center"/>
          </w:tcPr>
          <w:p w14:paraId="4F2B4D7A" w14:textId="0C7184A5" w:rsidR="005F6BDB" w:rsidRPr="0080359E" w:rsidRDefault="005F6BDB" w:rsidP="00BF771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i w:val="0"/>
                <w:iCs w:val="0"/>
                <w:sz w:val="16"/>
                <w:szCs w:val="12"/>
                <w:lang w:val="en-US"/>
              </w:rPr>
            </w:pPr>
            <w:r>
              <w:rPr>
                <w:rFonts w:ascii="Arial" w:eastAsiaTheme="minorEastAsia" w:hAnsi="Arial" w:cs="Arial"/>
                <w:b/>
                <w:bCs/>
                <w:i w:val="0"/>
                <w:iCs w:val="0"/>
                <w:sz w:val="16"/>
                <w:szCs w:val="12"/>
                <w:lang w:val="en-US"/>
              </w:rPr>
              <w:t xml:space="preserve">IE </w:t>
            </w:r>
            <w:r w:rsidRPr="0080359E">
              <w:rPr>
                <w:rFonts w:ascii="Arial" w:eastAsiaTheme="minorEastAsia" w:hAnsi="Arial" w:cs="Arial"/>
                <w:b/>
                <w:bCs/>
                <w:i w:val="0"/>
                <w:iCs w:val="0"/>
                <w:sz w:val="16"/>
                <w:szCs w:val="12"/>
                <w:lang w:val="en-US"/>
              </w:rPr>
              <w:t>Estimated spread distance</w:t>
            </w:r>
          </w:p>
        </w:tc>
        <w:tc>
          <w:tcPr>
            <w:tcW w:w="1374" w:type="dxa"/>
            <w:vAlign w:val="center"/>
          </w:tcPr>
          <w:p w14:paraId="4B481E28" w14:textId="77777777" w:rsidR="005F6BDB" w:rsidRPr="0080359E" w:rsidRDefault="005F6BDB" w:rsidP="00BF771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i w:val="0"/>
                <w:iCs w:val="0"/>
                <w:sz w:val="16"/>
                <w:szCs w:val="12"/>
                <w:lang w:val="en-US"/>
              </w:rPr>
            </w:pPr>
            <w:r w:rsidRPr="0080359E">
              <w:rPr>
                <w:rFonts w:ascii="Arial" w:eastAsiaTheme="minorEastAsia" w:hAnsi="Arial" w:cs="Arial"/>
                <w:b/>
                <w:bCs/>
                <w:i w:val="0"/>
                <w:iCs w:val="0"/>
                <w:sz w:val="16"/>
                <w:szCs w:val="12"/>
                <w:lang w:val="en-US"/>
              </w:rPr>
              <w:t>Strategy starting point</w:t>
            </w:r>
          </w:p>
        </w:tc>
        <w:tc>
          <w:tcPr>
            <w:tcW w:w="1319" w:type="dxa"/>
            <w:vAlign w:val="center"/>
          </w:tcPr>
          <w:p w14:paraId="28B9C065" w14:textId="77777777" w:rsidR="005F6BDB" w:rsidRPr="0080359E" w:rsidRDefault="005F6BDB" w:rsidP="00BF771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i w:val="0"/>
                <w:iCs w:val="0"/>
                <w:sz w:val="16"/>
                <w:szCs w:val="12"/>
                <w:lang w:val="en-US"/>
              </w:rPr>
            </w:pPr>
            <w:r w:rsidRPr="0080359E">
              <w:rPr>
                <w:rFonts w:ascii="Arial" w:eastAsiaTheme="minorEastAsia" w:hAnsi="Arial" w:cs="Arial"/>
                <w:b/>
                <w:bCs/>
                <w:i w:val="0"/>
                <w:iCs w:val="0"/>
                <w:sz w:val="16"/>
                <w:szCs w:val="12"/>
                <w:lang w:val="en-US"/>
              </w:rPr>
              <w:t>Asymptomatic period</w:t>
            </w:r>
          </w:p>
        </w:tc>
        <w:tc>
          <w:tcPr>
            <w:tcW w:w="1503" w:type="dxa"/>
            <w:vAlign w:val="center"/>
          </w:tcPr>
          <w:p w14:paraId="7916B0B0" w14:textId="77777777" w:rsidR="005F6BDB" w:rsidRPr="0080359E" w:rsidRDefault="005F6BDB" w:rsidP="00BF771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i w:val="0"/>
                <w:iCs w:val="0"/>
                <w:sz w:val="16"/>
                <w:szCs w:val="12"/>
                <w:lang w:val="en-US"/>
              </w:rPr>
            </w:pPr>
            <w:r w:rsidRPr="0080359E">
              <w:rPr>
                <w:rFonts w:ascii="Arial" w:eastAsiaTheme="minorEastAsia" w:hAnsi="Arial" w:cs="Arial"/>
                <w:b/>
                <w:bCs/>
                <w:i w:val="0"/>
                <w:iCs w:val="0"/>
                <w:sz w:val="16"/>
                <w:szCs w:val="12"/>
                <w:lang w:val="en-US"/>
              </w:rPr>
              <w:t>Method sensitivity</w:t>
            </w:r>
          </w:p>
        </w:tc>
      </w:tr>
      <w:tr w:rsidR="005F6BDB" w14:paraId="0D635C2D" w14:textId="77777777" w:rsidTr="00BF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3E1A0ED" w14:textId="77777777" w:rsidR="005F6BDB" w:rsidRPr="0080359E" w:rsidRDefault="005F6BDB" w:rsidP="00BF7718">
            <w:pPr>
              <w:jc w:val="left"/>
              <w:rPr>
                <w:rFonts w:ascii="Arial" w:eastAsiaTheme="minorEastAsia" w:hAnsi="Arial" w:cs="Arial"/>
                <w:i w:val="0"/>
                <w:iCs w:val="0"/>
                <w:sz w:val="16"/>
                <w:szCs w:val="12"/>
                <w:lang w:val="en-US"/>
              </w:rPr>
            </w:pPr>
            <w:r w:rsidRPr="0080359E">
              <w:rPr>
                <w:rFonts w:ascii="Arial" w:eastAsiaTheme="minorEastAsia" w:hAnsi="Arial" w:cs="Arial"/>
                <w:i w:val="0"/>
                <w:iCs w:val="0"/>
                <w:sz w:val="16"/>
                <w:szCs w:val="12"/>
                <w:lang w:val="en-US"/>
              </w:rPr>
              <w:t>Scenario 1</w:t>
            </w:r>
          </w:p>
        </w:tc>
        <w:tc>
          <w:tcPr>
            <w:tcW w:w="2011" w:type="dxa"/>
            <w:vAlign w:val="center"/>
          </w:tcPr>
          <w:p w14:paraId="31E7AA4C"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Matched (5 years or 25 generations)</w:t>
            </w:r>
          </w:p>
        </w:tc>
        <w:tc>
          <w:tcPr>
            <w:tcW w:w="1816" w:type="dxa"/>
            <w:vAlign w:val="center"/>
          </w:tcPr>
          <w:p w14:paraId="1F7CE560"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Matched (1050m/year or 750m/gen)</w:t>
            </w:r>
          </w:p>
        </w:tc>
        <w:tc>
          <w:tcPr>
            <w:tcW w:w="1374" w:type="dxa"/>
            <w:vAlign w:val="center"/>
          </w:tcPr>
          <w:p w14:paraId="15785D75"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Centre</w:t>
            </w:r>
          </w:p>
        </w:tc>
        <w:tc>
          <w:tcPr>
            <w:tcW w:w="1319" w:type="dxa"/>
            <w:vAlign w:val="center"/>
          </w:tcPr>
          <w:p w14:paraId="45A61337"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None</w:t>
            </w:r>
          </w:p>
        </w:tc>
        <w:tc>
          <w:tcPr>
            <w:tcW w:w="1503" w:type="dxa"/>
            <w:vAlign w:val="center"/>
          </w:tcPr>
          <w:p w14:paraId="0F3C0A49"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0.2, 0.5, 0.8, 1.0</w:t>
            </w:r>
          </w:p>
        </w:tc>
      </w:tr>
      <w:tr w:rsidR="005F6BDB" w14:paraId="364E8D90" w14:textId="77777777" w:rsidTr="00BF7718">
        <w:tc>
          <w:tcPr>
            <w:cnfStyle w:val="001000000000" w:firstRow="0" w:lastRow="0" w:firstColumn="1" w:lastColumn="0" w:oddVBand="0" w:evenVBand="0" w:oddHBand="0" w:evenHBand="0" w:firstRowFirstColumn="0" w:firstRowLastColumn="0" w:lastRowFirstColumn="0" w:lastRowLastColumn="0"/>
            <w:tcW w:w="993" w:type="dxa"/>
            <w:vAlign w:val="center"/>
          </w:tcPr>
          <w:p w14:paraId="37D3F307" w14:textId="77777777" w:rsidR="005F6BDB" w:rsidRPr="0080359E" w:rsidRDefault="005F6BDB" w:rsidP="00BF7718">
            <w:pPr>
              <w:jc w:val="left"/>
              <w:rPr>
                <w:rFonts w:ascii="Arial" w:eastAsiaTheme="minorEastAsia" w:hAnsi="Arial" w:cs="Arial"/>
                <w:i w:val="0"/>
                <w:iCs w:val="0"/>
                <w:sz w:val="16"/>
                <w:szCs w:val="12"/>
                <w:lang w:val="en-US"/>
              </w:rPr>
            </w:pPr>
            <w:r w:rsidRPr="0080359E">
              <w:rPr>
                <w:rFonts w:ascii="Arial" w:eastAsiaTheme="minorEastAsia" w:hAnsi="Arial" w:cs="Arial"/>
                <w:i w:val="0"/>
                <w:iCs w:val="0"/>
                <w:sz w:val="16"/>
                <w:szCs w:val="12"/>
                <w:lang w:val="en-US"/>
              </w:rPr>
              <w:t>Scenario 2</w:t>
            </w:r>
          </w:p>
        </w:tc>
        <w:tc>
          <w:tcPr>
            <w:tcW w:w="2011" w:type="dxa"/>
            <w:vAlign w:val="center"/>
          </w:tcPr>
          <w:p w14:paraId="591F34B9"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Matched (5 years or 25 generations)</w:t>
            </w:r>
          </w:p>
        </w:tc>
        <w:tc>
          <w:tcPr>
            <w:tcW w:w="1816" w:type="dxa"/>
            <w:vAlign w:val="center"/>
          </w:tcPr>
          <w:p w14:paraId="1D368D9A"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Matched (1050m/year or 750m/gen)</w:t>
            </w:r>
          </w:p>
        </w:tc>
        <w:tc>
          <w:tcPr>
            <w:tcW w:w="1374" w:type="dxa"/>
            <w:vAlign w:val="center"/>
          </w:tcPr>
          <w:p w14:paraId="50E3121A"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Centre</w:t>
            </w:r>
          </w:p>
        </w:tc>
        <w:tc>
          <w:tcPr>
            <w:tcW w:w="1319" w:type="dxa"/>
            <w:vAlign w:val="center"/>
          </w:tcPr>
          <w:p w14:paraId="323A6263"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365 days</w:t>
            </w:r>
          </w:p>
        </w:tc>
        <w:tc>
          <w:tcPr>
            <w:tcW w:w="1503" w:type="dxa"/>
            <w:vAlign w:val="center"/>
          </w:tcPr>
          <w:p w14:paraId="04DD3BDF"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0.2, 0.5, 0.8, 1.0</w:t>
            </w:r>
          </w:p>
        </w:tc>
      </w:tr>
      <w:tr w:rsidR="005F6BDB" w14:paraId="27DCB753" w14:textId="77777777" w:rsidTr="00BF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E99A5F3" w14:textId="77777777" w:rsidR="005F6BDB" w:rsidRPr="0080359E" w:rsidRDefault="005F6BDB" w:rsidP="00BF7718">
            <w:pPr>
              <w:jc w:val="left"/>
              <w:rPr>
                <w:rFonts w:ascii="Arial" w:eastAsiaTheme="minorEastAsia" w:hAnsi="Arial" w:cs="Arial"/>
                <w:i w:val="0"/>
                <w:iCs w:val="0"/>
                <w:sz w:val="16"/>
                <w:szCs w:val="12"/>
                <w:lang w:val="en-US"/>
              </w:rPr>
            </w:pPr>
            <w:r w:rsidRPr="0080359E">
              <w:rPr>
                <w:rFonts w:ascii="Arial" w:eastAsiaTheme="minorEastAsia" w:hAnsi="Arial" w:cs="Arial"/>
                <w:i w:val="0"/>
                <w:iCs w:val="0"/>
                <w:sz w:val="16"/>
                <w:szCs w:val="12"/>
                <w:lang w:val="en-US"/>
              </w:rPr>
              <w:t>Scenario 3</w:t>
            </w:r>
          </w:p>
        </w:tc>
        <w:tc>
          <w:tcPr>
            <w:tcW w:w="2011" w:type="dxa"/>
            <w:vAlign w:val="center"/>
          </w:tcPr>
          <w:p w14:paraId="678056E8"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Matched (5 years or 25 generations)</w:t>
            </w:r>
          </w:p>
        </w:tc>
        <w:tc>
          <w:tcPr>
            <w:tcW w:w="1816" w:type="dxa"/>
            <w:vAlign w:val="center"/>
          </w:tcPr>
          <w:p w14:paraId="4192F765"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Matched (1050m/year or 750m/gen)</w:t>
            </w:r>
          </w:p>
        </w:tc>
        <w:tc>
          <w:tcPr>
            <w:tcW w:w="1374" w:type="dxa"/>
            <w:vAlign w:val="center"/>
          </w:tcPr>
          <w:p w14:paraId="3E29B3DC"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Random symptomatic tree</w:t>
            </w:r>
          </w:p>
        </w:tc>
        <w:tc>
          <w:tcPr>
            <w:tcW w:w="1319" w:type="dxa"/>
            <w:vAlign w:val="center"/>
          </w:tcPr>
          <w:p w14:paraId="60E5D46A"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365 days</w:t>
            </w:r>
          </w:p>
        </w:tc>
        <w:tc>
          <w:tcPr>
            <w:tcW w:w="1503" w:type="dxa"/>
            <w:vAlign w:val="center"/>
          </w:tcPr>
          <w:p w14:paraId="6C12CA03" w14:textId="77777777" w:rsidR="005F6BDB" w:rsidRPr="0080359E" w:rsidRDefault="005F6BDB" w:rsidP="00BF7718">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0.2, 0.5, 0.8, 1.0</w:t>
            </w:r>
          </w:p>
        </w:tc>
      </w:tr>
      <w:tr w:rsidR="005F6BDB" w14:paraId="5080A5E7" w14:textId="77777777" w:rsidTr="00BF7718">
        <w:tc>
          <w:tcPr>
            <w:cnfStyle w:val="001000000000" w:firstRow="0" w:lastRow="0" w:firstColumn="1" w:lastColumn="0" w:oddVBand="0" w:evenVBand="0" w:oddHBand="0" w:evenHBand="0" w:firstRowFirstColumn="0" w:firstRowLastColumn="0" w:lastRowFirstColumn="0" w:lastRowLastColumn="0"/>
            <w:tcW w:w="993" w:type="dxa"/>
            <w:vAlign w:val="center"/>
          </w:tcPr>
          <w:p w14:paraId="5971A3B9" w14:textId="77777777" w:rsidR="005F6BDB" w:rsidRPr="0080359E" w:rsidRDefault="005F6BDB" w:rsidP="00BF7718">
            <w:pPr>
              <w:jc w:val="left"/>
              <w:rPr>
                <w:rFonts w:ascii="Arial" w:eastAsiaTheme="minorEastAsia" w:hAnsi="Arial" w:cs="Arial"/>
                <w:i w:val="0"/>
                <w:iCs w:val="0"/>
                <w:sz w:val="16"/>
                <w:szCs w:val="12"/>
                <w:lang w:val="en-US"/>
              </w:rPr>
            </w:pPr>
            <w:r w:rsidRPr="0080359E">
              <w:rPr>
                <w:rFonts w:ascii="Arial" w:eastAsiaTheme="minorEastAsia" w:hAnsi="Arial" w:cs="Arial"/>
                <w:i w:val="0"/>
                <w:iCs w:val="0"/>
                <w:sz w:val="16"/>
                <w:szCs w:val="12"/>
                <w:lang w:val="en-US"/>
              </w:rPr>
              <w:t>Scenario 4</w:t>
            </w:r>
          </w:p>
        </w:tc>
        <w:tc>
          <w:tcPr>
            <w:tcW w:w="2011" w:type="dxa"/>
            <w:vAlign w:val="center"/>
          </w:tcPr>
          <w:p w14:paraId="77A2CF5D"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Overestimated, matched and underestimated</w:t>
            </w:r>
          </w:p>
        </w:tc>
        <w:tc>
          <w:tcPr>
            <w:tcW w:w="1816" w:type="dxa"/>
            <w:vAlign w:val="center"/>
          </w:tcPr>
          <w:p w14:paraId="3BFA16DA"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u w:val="single"/>
                <w:lang w:val="en-US"/>
              </w:rPr>
              <w:t>Year</w:t>
            </w:r>
            <w:r w:rsidRPr="0080359E">
              <w:rPr>
                <w:rFonts w:ascii="Arial" w:eastAsiaTheme="minorEastAsia" w:hAnsi="Arial" w:cs="Arial"/>
                <w:sz w:val="16"/>
                <w:szCs w:val="12"/>
                <w:lang w:val="en-US"/>
              </w:rPr>
              <w:t>: 450m, 750, 1050m, 1350m</w:t>
            </w:r>
          </w:p>
          <w:p w14:paraId="044B6A9D"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u w:val="single"/>
                <w:lang w:val="en-US"/>
              </w:rPr>
              <w:t>Gen</w:t>
            </w:r>
            <w:r w:rsidRPr="0080359E">
              <w:rPr>
                <w:rFonts w:ascii="Arial" w:eastAsiaTheme="minorEastAsia" w:hAnsi="Arial" w:cs="Arial"/>
                <w:sz w:val="16"/>
                <w:szCs w:val="12"/>
                <w:lang w:val="en-US"/>
              </w:rPr>
              <w:t>: 350m, 550m, 750m, 1050m</w:t>
            </w:r>
          </w:p>
        </w:tc>
        <w:tc>
          <w:tcPr>
            <w:tcW w:w="1374" w:type="dxa"/>
            <w:vAlign w:val="center"/>
          </w:tcPr>
          <w:p w14:paraId="5C45AC1A"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Random symptomatic tree</w:t>
            </w:r>
          </w:p>
        </w:tc>
        <w:tc>
          <w:tcPr>
            <w:tcW w:w="1319" w:type="dxa"/>
            <w:vAlign w:val="center"/>
          </w:tcPr>
          <w:p w14:paraId="77E83B95"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365 days</w:t>
            </w:r>
          </w:p>
        </w:tc>
        <w:tc>
          <w:tcPr>
            <w:tcW w:w="1503" w:type="dxa"/>
            <w:vAlign w:val="center"/>
          </w:tcPr>
          <w:p w14:paraId="2342B0AD" w14:textId="77777777" w:rsidR="005F6BDB" w:rsidRPr="0080359E" w:rsidRDefault="005F6BDB" w:rsidP="00BF7718">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2"/>
                <w:lang w:val="en-US"/>
              </w:rPr>
            </w:pPr>
            <w:r w:rsidRPr="0080359E">
              <w:rPr>
                <w:rFonts w:ascii="Arial" w:eastAsiaTheme="minorEastAsia" w:hAnsi="Arial" w:cs="Arial"/>
                <w:sz w:val="16"/>
                <w:szCs w:val="12"/>
                <w:lang w:val="en-US"/>
              </w:rPr>
              <w:t>0.2, 0.5, 0.8, 1.0</w:t>
            </w:r>
          </w:p>
        </w:tc>
      </w:tr>
    </w:tbl>
    <w:p w14:paraId="5CF802A4" w14:textId="77777777" w:rsidR="005F6BDB" w:rsidRDefault="005F6BDB" w:rsidP="005F6BDB">
      <w:pPr>
        <w:rPr>
          <w:lang w:val="en-US"/>
        </w:rPr>
      </w:pPr>
    </w:p>
    <w:p w14:paraId="736F594D" w14:textId="5466D66E" w:rsidR="005F6BDB" w:rsidRDefault="005F6BDB" w:rsidP="005F6BDB">
      <w:pPr>
        <w:rPr>
          <w:rFonts w:ascii="Arial" w:hAnsi="Arial" w:cs="Arial"/>
          <w:lang w:val="en-US"/>
        </w:rPr>
      </w:pPr>
      <w:r>
        <w:rPr>
          <w:rFonts w:ascii="Arial" w:hAnsi="Arial" w:cs="Arial"/>
          <w:lang w:val="en-US"/>
        </w:rPr>
        <w:t>Scenarios 1 to 4 were applied to random host distributed landscapes. When assessing the performance of the delimiting strategies on clustered or extreme clustered landscapes, a modified Scenario 4 was used, where the Method Sensitivity was fixed at 0.5.</w:t>
      </w:r>
    </w:p>
    <w:p w14:paraId="5FB1F5F5" w14:textId="77777777" w:rsidR="00D94C37" w:rsidRDefault="00D94C37" w:rsidP="005F6BDB">
      <w:pPr>
        <w:rPr>
          <w:rFonts w:ascii="Arial" w:hAnsi="Arial" w:cs="Arial"/>
          <w:lang w:val="en-US"/>
        </w:rPr>
      </w:pPr>
    </w:p>
    <w:p w14:paraId="276DDA0A" w14:textId="72290E83" w:rsidR="00D94C37" w:rsidRDefault="00D94C37" w:rsidP="00D94C37">
      <w:pPr>
        <w:pStyle w:val="Heading1"/>
        <w:rPr>
          <w:lang w:val="en-US"/>
        </w:rPr>
      </w:pPr>
      <w:r>
        <w:rPr>
          <w:lang w:val="en-US"/>
        </w:rPr>
        <w:t>Further Elaboration on the Multi-foci Strategy’s Poor Performance</w:t>
      </w:r>
    </w:p>
    <w:p w14:paraId="33AC5D53" w14:textId="77777777" w:rsidR="00D94C37" w:rsidRDefault="00D94C37" w:rsidP="00D94C37">
      <w:pPr>
        <w:rPr>
          <w:rFonts w:ascii="Arial" w:hAnsi="Arial" w:cs="Arial"/>
        </w:rPr>
      </w:pPr>
      <w:r w:rsidRPr="00F13E9E">
        <w:rPr>
          <w:rFonts w:ascii="Arial" w:hAnsi="Arial" w:cs="Arial"/>
        </w:rPr>
        <w:t xml:space="preserve">The performance of the </w:t>
      </w:r>
      <w:proofErr w:type="gramStart"/>
      <w:r w:rsidRPr="00F13E9E">
        <w:rPr>
          <w:rFonts w:ascii="Arial" w:hAnsi="Arial" w:cs="Arial"/>
        </w:rPr>
        <w:t>Multi-foci</w:t>
      </w:r>
      <w:proofErr w:type="gramEnd"/>
      <w:r w:rsidRPr="00F13E9E">
        <w:rPr>
          <w:rFonts w:ascii="Arial" w:hAnsi="Arial" w:cs="Arial"/>
        </w:rPr>
        <w:t xml:space="preserve"> strategy was most negatively affected when the strategy started on a random symptomatic tree</w:t>
      </w:r>
      <w:r>
        <w:rPr>
          <w:rFonts w:ascii="Arial" w:hAnsi="Arial" w:cs="Arial"/>
        </w:rPr>
        <w:t xml:space="preserve"> and asymptomatic trees cannot be detected. This is caused by three reasons:</w:t>
      </w:r>
    </w:p>
    <w:p w14:paraId="76850B45" w14:textId="77777777" w:rsidR="00D94C37" w:rsidRDefault="00D94C37" w:rsidP="00D94C37">
      <w:pPr>
        <w:pStyle w:val="ListParagraph"/>
        <w:numPr>
          <w:ilvl w:val="0"/>
          <w:numId w:val="1"/>
        </w:numPr>
        <w:rPr>
          <w:rFonts w:ascii="Arial" w:hAnsi="Arial" w:cs="Arial"/>
          <w:color w:val="000000" w:themeColor="text1"/>
        </w:rPr>
      </w:pPr>
      <w:r>
        <w:rPr>
          <w:rFonts w:ascii="Arial" w:hAnsi="Arial" w:cs="Arial"/>
          <w:color w:val="000000" w:themeColor="text1"/>
        </w:rPr>
        <w:t>Exponential dispersal. Because the IBM models the spread with an exponential dispersal kernel, the epidemic spreads from its origin and creates two fronts: an inner front of symptomatic hosts and an outer front of asymptomatic hosts.</w:t>
      </w:r>
    </w:p>
    <w:p w14:paraId="690E5943" w14:textId="77777777" w:rsidR="00D94C37" w:rsidRDefault="00D94C37" w:rsidP="00D94C37">
      <w:pPr>
        <w:pStyle w:val="ListParagraph"/>
        <w:numPr>
          <w:ilvl w:val="0"/>
          <w:numId w:val="1"/>
        </w:numPr>
        <w:rPr>
          <w:rFonts w:ascii="Arial" w:hAnsi="Arial" w:cs="Arial"/>
          <w:color w:val="000000" w:themeColor="text1"/>
        </w:rPr>
      </w:pPr>
      <w:r>
        <w:rPr>
          <w:rFonts w:ascii="Arial" w:hAnsi="Arial" w:cs="Arial"/>
          <w:color w:val="000000" w:themeColor="text1"/>
        </w:rPr>
        <w:t xml:space="preserve">Starting point bias. When the </w:t>
      </w:r>
      <w:proofErr w:type="gramStart"/>
      <w:r>
        <w:rPr>
          <w:rFonts w:ascii="Arial" w:hAnsi="Arial" w:cs="Arial"/>
          <w:color w:val="000000" w:themeColor="text1"/>
        </w:rPr>
        <w:t>Multi-foci</w:t>
      </w:r>
      <w:proofErr w:type="gramEnd"/>
      <w:r>
        <w:rPr>
          <w:rFonts w:ascii="Arial" w:hAnsi="Arial" w:cs="Arial"/>
          <w:color w:val="000000" w:themeColor="text1"/>
        </w:rPr>
        <w:t xml:space="preserve"> strategy begins at a random symptomatic tree on the edge of the symptomatic front, it encounters more symptomatic hosts towards the </w:t>
      </w:r>
      <w:r w:rsidRPr="00D94C37">
        <w:rPr>
          <w:rFonts w:ascii="Arial" w:hAnsi="Arial" w:cs="Arial"/>
          <w:color w:val="000000" w:themeColor="text1"/>
        </w:rPr>
        <w:t>epidemic’s origin</w:t>
      </w:r>
      <w:r>
        <w:rPr>
          <w:rFonts w:ascii="Arial" w:hAnsi="Arial" w:cs="Arial"/>
          <w:color w:val="000000" w:themeColor="text1"/>
        </w:rPr>
        <w:t xml:space="preserve"> and fewer in other directions. This bias persists even with perfect method sensitivity, as fewer hosts are sampled away from the origin. At lower sensitivities, imperfect detection further reinforces this trend, leading the strategy to focus inward rather than outward.</w:t>
      </w:r>
    </w:p>
    <w:p w14:paraId="3104FDED" w14:textId="668361A3" w:rsidR="00D94C37" w:rsidRPr="00D94C37" w:rsidRDefault="00D94C37" w:rsidP="00D94C37">
      <w:pPr>
        <w:rPr>
          <w:lang w:val="en-US"/>
        </w:rPr>
      </w:pPr>
      <w:r>
        <w:rPr>
          <w:rFonts w:ascii="Arial" w:hAnsi="Arial" w:cs="Arial"/>
          <w:color w:val="000000" w:themeColor="text1"/>
        </w:rPr>
        <w:t xml:space="preserve">Limited detection range. The constant and relatively short radii of the </w:t>
      </w:r>
      <w:proofErr w:type="gramStart"/>
      <w:r>
        <w:rPr>
          <w:rFonts w:ascii="Arial" w:hAnsi="Arial" w:cs="Arial"/>
          <w:color w:val="000000" w:themeColor="text1"/>
        </w:rPr>
        <w:t>Multi-foci</w:t>
      </w:r>
      <w:proofErr w:type="gramEnd"/>
      <w:r>
        <w:rPr>
          <w:rFonts w:ascii="Arial" w:hAnsi="Arial" w:cs="Arial"/>
          <w:color w:val="000000" w:themeColor="text1"/>
        </w:rPr>
        <w:t xml:space="preserve"> survey circles fail to capture the full extent of the spread, especially given the imperfect detection of infected trees.</w:t>
      </w:r>
    </w:p>
    <w:p w14:paraId="361859D5" w14:textId="77777777" w:rsidR="00D94C37" w:rsidRPr="00D94C37" w:rsidRDefault="00D94C37" w:rsidP="00D94C37">
      <w:pPr>
        <w:rPr>
          <w:lang w:val="en-US"/>
        </w:rPr>
      </w:pPr>
    </w:p>
    <w:sectPr w:rsidR="00D94C37" w:rsidRPr="00D94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C154DE"/>
    <w:multiLevelType w:val="hybridMultilevel"/>
    <w:tmpl w:val="ADDED2BC"/>
    <w:lvl w:ilvl="0" w:tplc="4809000F">
      <w:start w:val="1"/>
      <w:numFmt w:val="decimal"/>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3331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DB"/>
    <w:rsid w:val="005F6BDB"/>
    <w:rsid w:val="007C2B4C"/>
    <w:rsid w:val="00B22A94"/>
    <w:rsid w:val="00D94C37"/>
    <w:rsid w:val="00D96B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FFF6"/>
  <w15:chartTrackingRefBased/>
  <w15:docId w15:val="{743EFFA7-3252-4023-8DF3-D5AF6373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BDB"/>
    <w:rPr>
      <w:rFonts w:eastAsiaTheme="majorEastAsia" w:cstheme="majorBidi"/>
      <w:color w:val="272727" w:themeColor="text1" w:themeTint="D8"/>
    </w:rPr>
  </w:style>
  <w:style w:type="paragraph" w:styleId="Title">
    <w:name w:val="Title"/>
    <w:basedOn w:val="Normal"/>
    <w:next w:val="Normal"/>
    <w:link w:val="TitleChar"/>
    <w:uiPriority w:val="10"/>
    <w:qFormat/>
    <w:rsid w:val="005F6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BDB"/>
    <w:pPr>
      <w:spacing w:before="160"/>
      <w:jc w:val="center"/>
    </w:pPr>
    <w:rPr>
      <w:i/>
      <w:iCs/>
      <w:color w:val="404040" w:themeColor="text1" w:themeTint="BF"/>
    </w:rPr>
  </w:style>
  <w:style w:type="character" w:customStyle="1" w:styleId="QuoteChar">
    <w:name w:val="Quote Char"/>
    <w:basedOn w:val="DefaultParagraphFont"/>
    <w:link w:val="Quote"/>
    <w:uiPriority w:val="29"/>
    <w:rsid w:val="005F6BDB"/>
    <w:rPr>
      <w:i/>
      <w:iCs/>
      <w:color w:val="404040" w:themeColor="text1" w:themeTint="BF"/>
    </w:rPr>
  </w:style>
  <w:style w:type="paragraph" w:styleId="ListParagraph">
    <w:name w:val="List Paragraph"/>
    <w:basedOn w:val="Normal"/>
    <w:uiPriority w:val="34"/>
    <w:qFormat/>
    <w:rsid w:val="005F6BDB"/>
    <w:pPr>
      <w:ind w:left="720"/>
      <w:contextualSpacing/>
    </w:pPr>
  </w:style>
  <w:style w:type="character" w:styleId="IntenseEmphasis">
    <w:name w:val="Intense Emphasis"/>
    <w:basedOn w:val="DefaultParagraphFont"/>
    <w:uiPriority w:val="21"/>
    <w:qFormat/>
    <w:rsid w:val="005F6BDB"/>
    <w:rPr>
      <w:i/>
      <w:iCs/>
      <w:color w:val="0F4761" w:themeColor="accent1" w:themeShade="BF"/>
    </w:rPr>
  </w:style>
  <w:style w:type="paragraph" w:styleId="IntenseQuote">
    <w:name w:val="Intense Quote"/>
    <w:basedOn w:val="Normal"/>
    <w:next w:val="Normal"/>
    <w:link w:val="IntenseQuoteChar"/>
    <w:uiPriority w:val="30"/>
    <w:qFormat/>
    <w:rsid w:val="005F6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BDB"/>
    <w:rPr>
      <w:i/>
      <w:iCs/>
      <w:color w:val="0F4761" w:themeColor="accent1" w:themeShade="BF"/>
    </w:rPr>
  </w:style>
  <w:style w:type="character" w:styleId="IntenseReference">
    <w:name w:val="Intense Reference"/>
    <w:basedOn w:val="DefaultParagraphFont"/>
    <w:uiPriority w:val="32"/>
    <w:qFormat/>
    <w:rsid w:val="005F6BDB"/>
    <w:rPr>
      <w:b/>
      <w:bCs/>
      <w:smallCaps/>
      <w:color w:val="0F4761" w:themeColor="accent1" w:themeShade="BF"/>
      <w:spacing w:val="5"/>
    </w:rPr>
  </w:style>
  <w:style w:type="table" w:styleId="PlainTable5">
    <w:name w:val="Plain Table 5"/>
    <w:basedOn w:val="TableNormal"/>
    <w:uiPriority w:val="45"/>
    <w:rsid w:val="005F6B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D94C37"/>
    <w:rPr>
      <w:sz w:val="16"/>
      <w:szCs w:val="16"/>
    </w:rPr>
  </w:style>
  <w:style w:type="paragraph" w:styleId="CommentText">
    <w:name w:val="annotation text"/>
    <w:basedOn w:val="Normal"/>
    <w:link w:val="CommentTextChar"/>
    <w:uiPriority w:val="99"/>
    <w:unhideWhenUsed/>
    <w:rsid w:val="00D94C37"/>
    <w:pPr>
      <w:spacing w:line="240" w:lineRule="auto"/>
    </w:pPr>
    <w:rPr>
      <w:sz w:val="20"/>
      <w:szCs w:val="20"/>
    </w:rPr>
  </w:style>
  <w:style w:type="character" w:customStyle="1" w:styleId="CommentTextChar">
    <w:name w:val="Comment Text Char"/>
    <w:basedOn w:val="DefaultParagraphFont"/>
    <w:link w:val="CommentText"/>
    <w:uiPriority w:val="99"/>
    <w:rsid w:val="00D94C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Joshua</dc:creator>
  <cp:keywords/>
  <dc:description/>
  <cp:lastModifiedBy>Koh, Joshua</cp:lastModifiedBy>
  <cp:revision>2</cp:revision>
  <dcterms:created xsi:type="dcterms:W3CDTF">2024-09-02T16:07:00Z</dcterms:created>
  <dcterms:modified xsi:type="dcterms:W3CDTF">2024-09-19T15:28:00Z</dcterms:modified>
</cp:coreProperties>
</file>