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Inter-bold.ttf" ContentType="application/x-font-ttf"/>
  <Override PartName="/word/fonts/Inter-boldItalic.ttf" ContentType="application/x-font-ttf"/>
  <Override PartName="/word/fonts/Inter-italic.ttf" ContentType="application/x-font-ttf"/>
  <Override PartName="/word/fonts/Inter-regular.ttf" ContentType="application/x-font-ttf"/>
  <Override PartName="/word/fonts/InterMedium-bold.ttf" ContentType="application/x-font-ttf"/>
  <Override PartName="/word/fonts/InterMedium-boldItalic.ttf" ContentType="application/x-font-ttf"/>
  <Override PartName="/word/fonts/InterMedium-italic.ttf" ContentType="application/x-font-ttf"/>
  <Override PartName="/word/fonts/InterMedium-regular.ttf" ContentType="application/x-font-ttf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9050" distT="19050" distL="19050" distR="19050">
            <wp:extent cx="7315200" cy="2032000"/>
            <wp:effectExtent b="0" l="0" r="0" t="0"/>
            <wp:docPr descr="Una representación digital abstracta de datos fluyendo desde servidores a una nube, simbolizando la migración y la arquitectura de Data Lakehouse." id="1" name="image1.jpg"/>
            <a:graphic>
              <a:graphicData uri="http://schemas.openxmlformats.org/drawingml/2006/picture">
                <pic:pic>
                  <pic:nvPicPr>
                    <pic:cNvPr descr="Una representación digital abstracta de datos fluyendo desde servidores a una nube, simbolizando la migración y la arquitectura de Data Lakehouse." id="0" name="image1.jpg"/>
                    <pic:cNvPicPr preferRelativeResize="0"/>
                  </pic:nvPicPr>
                  <pic:blipFill>
                    <a:blip r:embed="rId6"/>
                    <a:srcRect b="25333" l="0" r="0" t="25333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/>
      </w:pPr>
      <w:bookmarkStart w:colFirst="0" w:colLast="0" w:name="_lmomxjfvcypg" w:id="0"/>
      <w:bookmarkEnd w:id="0"/>
      <w:r w:rsidDel="00000000" w:rsidR="00000000" w:rsidRPr="00000000">
        <w:rPr>
          <w:rtl w:val="0"/>
        </w:rPr>
        <w:t xml:space="preserve">Enunciado del Proyecto Final de Asignatura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8y9aqiy1sr33" w:id="1"/>
      <w:bookmarkEnd w:id="1"/>
      <w:r w:rsidDel="00000000" w:rsidR="00000000" w:rsidRPr="00000000">
        <w:rPr>
          <w:rtl w:val="0"/>
        </w:rPr>
        <w:t>1. Contexto del Proyecto: Arquitectura Cloud aplicada al TFM del grupo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>Cada grupo, en el marco de su Trabajo Fin de Máster (TFM), deberá analizar las necesidades tecnológicas de su proyecto de investigación y plantear una solución de Business Intelligence y Big Data apoyada en servicios cloud.</w:t>
      </w:r>
      <w:r w:rsidDel="00000000" w:rsidR="00000000" w:rsidRPr="00000000">
        <w:rPr>
          <w:i w:val="1"/>
          <w:iCs w:val="1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>Actualmente, la construcción de este tipo de soluciones puede verse condicionada por aspectos como: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>Procesos o fuentes de datos heterogéneas: La información puede proceder de distintas fuentes, formatos o sistemas, lo que dificulta su integración y explotación analítica.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>Limitaciones de escalabilidad y rendimiento: A medida que crece el volumen de datos o la complejidad del análisis, una solución local o tradicional puede generar cuellos de botella en el procesamiento y en la disponibilidad de la información.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>En este contexto, el grupo deberá proponer una evolución hacia una Arquitectura Cloud-Native, valorando el paradigma de Data Lakehouse y la separación eficiente entre el almacenamiento masivo (Data Lake) y el cómputo analítico (Data Warehouse), siempre que resulte coherente con el enfoque de su TFM.</w:t>
      </w:r>
      <w:r w:rsidDel="00000000" w:rsidR="00000000" w:rsidRPr="00000000">
        <w:rPr>
          <w:b w:val="1"/>
          <w:bCs w:val="1"/>
          <w:rtl w:val="0"/>
        </w:rPr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>Como equipo de Data Engineers, vuestra misión es doble: diseñar la arquitectura Cloud más adecuada para vuestro TFM y construir un Producto Mínimo Viable (MVP) funcional que permita validar la viabilidad técnica de la propuesta.</w:t>
      </w:r>
    </w:p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qrih45jtprm8" w:id="2"/>
      <w:bookmarkEnd w:id="2"/>
      <w:r w:rsidDel="00000000" w:rsidR="00000000" w:rsidRPr="00000000">
        <w:rPr>
          <w:rtl w:val="0"/>
        </w:rPr>
        <w:t xml:space="preserve">2. Objetivos del Proyecto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El proyecto se estructura en dos fases de entrega obligatoria, diseñadas para evaluar tanto la comprensión conceptual de arquitecturas </w:t>
      </w:r>
      <w:r w:rsidDel="00000000" w:rsidR="00000000" w:rsidRPr="00000000">
        <w:rPr>
          <w:i w:val="1"/>
          <w:iCs w:val="1"/>
          <w:rtl w:val="0"/>
        </w:rPr>
        <w:t xml:space="preserve">cloud-native</w:t>
      </w:r>
      <w:r w:rsidDel="00000000" w:rsidR="00000000" w:rsidRPr="00000000">
        <w:rPr>
          <w:rtl w:val="0"/>
        </w:rPr>
        <w:t xml:space="preserve"> como la habilidad práctica en la construcción de pipelines de datos.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cxfzng8yg87y" w:id="3"/>
      <w:bookmarkEnd w:id="3"/>
      <w:r w:rsidDel="00000000" w:rsidR="00000000" w:rsidRPr="00000000">
        <w:rPr>
          <w:rtl w:val="0"/>
        </w:rPr>
        <w:t xml:space="preserve">Fase 1: Diseño de Arquitectura Cloud (Teórico)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El objetivo es diseñar la arquitectura óptima para TechRetail, asumiendo una migración completa a un proveedor de nube pública (a elegir: AWS o Google Cloud Platform).</w:t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5o5vmuuf0qb6" w:id="4"/>
      <w:bookmarkEnd w:id="4"/>
      <w:r w:rsidDel="00000000" w:rsidR="00000000" w:rsidRPr="00000000">
        <w:rPr>
          <w:rtl w:val="0"/>
        </w:rPr>
        <w:t xml:space="preserve">Entregables de la Fase 1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Diagrama de Arquitectura: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Un diagrama profesional (creado con herramientas como </w:t>
      </w:r>
      <w:r w:rsidDel="00000000" w:rsidR="00000000" w:rsidRPr="00000000">
        <w:rPr>
          <w:i w:val="1"/>
          <w:iCs w:val="1"/>
          <w:rtl w:val="0"/>
        </w:rPr>
        <w:t xml:space="preserve">Draw.io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Lucidchart</w:t>
      </w:r>
      <w:r w:rsidDel="00000000" w:rsidR="00000000" w:rsidRPr="00000000">
        <w:rPr>
          <w:rtl w:val="0"/>
        </w:rPr>
        <w:t xml:space="preserve"> o similares) que visualice el ciclo de vida completo del dato, desde la ingesta de las fuentes OLTP/Logs hasta el consumo final por la herramienta de BI (ej. Tableau/PowerBI).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Justificación Tecnológica: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Un documento que explique de forma concisa la elección de cada servicio </w:t>
      </w:r>
      <w:r w:rsidDel="00000000" w:rsidR="00000000" w:rsidRPr="00000000">
        <w:rPr>
          <w:i w:val="1"/>
          <w:iCs w:val="1"/>
          <w:rtl w:val="0"/>
        </w:rPr>
        <w:t xml:space="preserve">Cloud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Se debe argumentar la importancia de la </w:t>
      </w:r>
      <w:r w:rsidDel="00000000" w:rsidR="00000000" w:rsidRPr="00000000">
        <w:rPr>
          <w:b w:val="1"/>
          <w:bCs w:val="1"/>
          <w:rtl w:val="0"/>
        </w:rPr>
        <w:t xml:space="preserve">separación entre sistemas OLTP y OLAP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Se valorará el uso de </w:t>
      </w:r>
      <w:r w:rsidDel="00000000" w:rsidR="00000000" w:rsidRPr="00000000">
        <w:rPr>
          <w:b w:val="1"/>
          <w:bCs w:val="1"/>
          <w:rtl w:val="0"/>
        </w:rPr>
        <w:t xml:space="preserve">servicios gestionados (DBaaS, Serverless)</w:t>
      </w:r>
      <w:r w:rsidDel="00000000" w:rsidR="00000000" w:rsidRPr="00000000">
        <w:rPr>
          <w:rtl w:val="0"/>
        </w:rPr>
        <w:t xml:space="preserve"> frente a la infraestructura tradicional (IaaS).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Estimación de Costes (High-Level):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Identificar los servicios que generarán el mayor coste (ej. almacenamiento mensual vs. coste por </w:t>
      </w:r>
      <w:r w:rsidDel="00000000" w:rsidR="00000000" w:rsidRPr="00000000">
        <w:rPr>
          <w:i w:val="1"/>
          <w:iCs w:val="1"/>
          <w:rtl w:val="0"/>
        </w:rPr>
        <w:t xml:space="preserve">query</w:t>
      </w:r>
      <w:r w:rsidDel="00000000" w:rsidR="00000000" w:rsidRPr="00000000">
        <w:rPr>
          <w:rtl w:val="0"/>
        </w:rPr>
        <w:t xml:space="preserve"> analítica).</w:t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Explicar las estrategias arquitectónicas aplicadas para minimizarlos (ej. uso de formatos columnares como Parquet, particionamiento de datos, etc.).</w:t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cuwsf3nn4j64" w:id="5"/>
      <w:bookmarkEnd w:id="5"/>
      <w:r w:rsidDel="00000000" w:rsidR="00000000" w:rsidRPr="00000000">
        <w:rPr>
          <w:rtl w:val="0"/>
        </w:rPr>
        <w:t xml:space="preserve">Fase 2: Prototipo Funcional MVP (Práctico - Cloud-in-Local)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Para demostrar la viabilidad técnica y evitar incurrir en costes cloud iniciales, se construirá un pipeline funcional de extremo a extremo utilizando la estrategia "Cloud-in-Local". Todo el entorno debe ser reproducible mediante Docker.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Se proporcionará un dataset simulado en formato CSV (ej. registros de ventas y clics).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El pipeline debe automatizar los siguientes pasos: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50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Etapa del Pipeline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Herramientas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Resultado Esperado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1. Capa Raw (Ingesta)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LocalStack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Subida automatizada de los archivos CSV crudos a un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bucket</w:t>
            </w:r>
            <w:r w:rsidDel="00000000" w:rsidR="00000000" w:rsidRPr="00000000">
              <w:rPr>
                <w:rtl w:val="0"/>
              </w:rPr>
              <w:t xml:space="preserve"> S3 simulado.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2. Procesamiento y Capa Gold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PySpark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Script que lee los datos crudos desde LocalStack, realiza una limpieza básica (tratamiento de nulos) y agrega las ventas por fecha y categoría. El resultado se guarda en S3 simulado en formato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Parquet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3. Capa Serving (Data Warehouse)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Python/SQLAlchemy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Script que ingesta los archivos Parquet procesados hacia una base de datos relacional simulada en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PostgreSQL</w:t>
            </w:r>
            <w:r w:rsidDel="00000000" w:rsidR="00000000" w:rsidRPr="00000000">
              <w:rPr>
                <w:rtl w:val="0"/>
              </w:rPr>
              <w:t xml:space="preserve"> (desplegada vía Docker), actuando como Data Warehouse.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4. Consumo (Data Mart)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Archivo SQL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Creación de una tabla o vista final en PostgreSQL optimizada, lista para ser conectada a un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dashboard</w:t>
            </w:r>
            <w:r w:rsidDel="00000000" w:rsidR="00000000" w:rsidRPr="00000000">
              <w:rPr>
                <w:rtl w:val="0"/>
              </w:rPr>
              <w:t xml:space="preserve"> de BI.</w:t>
            </w:r>
          </w:p>
        </w:tc>
      </w:tr>
    </w:tbl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Requisito de Entorno:</w:t>
      </w:r>
      <w:r w:rsidDel="00000000" w:rsidR="00000000" w:rsidRPr="00000000">
        <w:rPr>
          <w:rtl w:val="0"/>
        </w:rPr>
        <w:t xml:space="preserve"> Todo el entorno de desarrollo debe ser reproducible mediante la provisión de un archivo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docker-compose.yml</w:t>
      </w:r>
      <w:r w:rsidDel="00000000" w:rsidR="00000000" w:rsidRPr="00000000">
        <w:rPr>
          <w:rtl w:val="0"/>
        </w:rPr>
        <w:t xml:space="preserve"> que levante todas las dependencias (LocalStack, PostgreSQL, entorno Spark, etc.).</w:t>
      </w:r>
    </w:p>
    <w:p w:rsidR="00000000" w:rsidDel="00000000" w:rsidP="00000000" w:rsidRDefault="00000000" w:rsidRPr="00000000" w14:paraId="00000034">
      <w:pPr>
        <w:pStyle w:val="Heading1"/>
        <w:rPr/>
      </w:pPr>
      <w:bookmarkStart w:colFirst="0" w:colLast="0" w:name="_hdnt1n6oksja" w:id="6"/>
      <w:bookmarkEnd w:id="6"/>
      <w:r w:rsidDel="00000000" w:rsidR="00000000" w:rsidRPr="00000000">
        <w:rPr>
          <w:rtl w:val="0"/>
        </w:rPr>
        <w:t xml:space="preserve">3. Requisitos Opcionales (Bonus - Nivel Experto)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Para los grupos que aspiren a la máxima calificación, se valorará la integración de los siguientes elementos, demostrando un nivel avanzado en ingeniería de datos: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Orquestación Continua:</w:t>
      </w:r>
      <w:r w:rsidDel="00000000" w:rsidR="00000000" w:rsidRPr="00000000">
        <w:rPr>
          <w:rtl w:val="0"/>
        </w:rPr>
        <w:t xml:space="preserve"> Despliegue de los scripts de Python y PySpark en contenedores gestionados por un clúster local de </w:t>
      </w:r>
      <w:r w:rsidDel="00000000" w:rsidR="00000000" w:rsidRPr="00000000">
        <w:rPr>
          <w:b w:val="1"/>
          <w:bCs w:val="1"/>
          <w:rtl w:val="0"/>
        </w:rPr>
        <w:t xml:space="preserve">Kubernetes</w:t>
      </w:r>
      <w:r w:rsidDel="00000000" w:rsidR="00000000" w:rsidRPr="00000000">
        <w:rPr>
          <w:rtl w:val="0"/>
        </w:rPr>
        <w:t xml:space="preserve"> (minikube).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Automatización:</w:t>
      </w:r>
      <w:r w:rsidDel="00000000" w:rsidR="00000000" w:rsidRPr="00000000">
        <w:rPr>
          <w:rtl w:val="0"/>
        </w:rPr>
        <w:t xml:space="preserve"> Encapsular el flujo completo del </w:t>
      </w:r>
      <w:r w:rsidDel="00000000" w:rsidR="00000000" w:rsidRPr="00000000">
        <w:rPr>
          <w:i w:val="1"/>
          <w:iCs w:val="1"/>
          <w:rtl w:val="0"/>
        </w:rPr>
        <w:t xml:space="preserve">pipeline</w:t>
      </w:r>
      <w:r w:rsidDel="00000000" w:rsidR="00000000" w:rsidRPr="00000000">
        <w:rPr>
          <w:rtl w:val="0"/>
        </w:rPr>
        <w:t xml:space="preserve"> (Ingesta → Spark → PostgreSQL) utilizando un DAG de </w:t>
      </w:r>
      <w:r w:rsidDel="00000000" w:rsidR="00000000" w:rsidRPr="00000000">
        <w:rPr>
          <w:b w:val="1"/>
          <w:bCs w:val="1"/>
          <w:rtl w:val="0"/>
        </w:rPr>
        <w:t xml:space="preserve">Apache Airflow</w:t>
      </w:r>
      <w:r w:rsidDel="00000000" w:rsidR="00000000" w:rsidRPr="00000000">
        <w:rPr>
          <w:rtl w:val="0"/>
        </w:rPr>
        <w:t xml:space="preserve">, asegurando que el proceso se ejecute de forma programada y robusta.</w:t>
      </w:r>
    </w:p>
    <w:p w:rsidR="00000000" w:rsidDel="00000000" w:rsidP="00000000" w:rsidRDefault="00000000" w:rsidRPr="00000000" w14:paraId="00000039">
      <w:pPr>
        <w:pStyle w:val="Heading1"/>
        <w:rPr/>
      </w:pPr>
      <w:bookmarkStart w:colFirst="0" w:colLast="0" w:name="_t4779uklmdg" w:id="7"/>
      <w:bookmarkEnd w:id="7"/>
      <w:r w:rsidDel="00000000" w:rsidR="00000000" w:rsidRPr="00000000">
        <w:rPr>
          <w:rtl w:val="0"/>
        </w:rPr>
        <w:t xml:space="preserve">4. Criterios de Evaluación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La calificación final del proyecto se ponderará de la siguiente manera: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50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Criterio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Ponderación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Descripción de la Evaluación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Arquitectura y Justificación (Fase 1)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30%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Coherencia del diagrama, uso apropiado de los servicios Cloud y rigor en la justificación técnica (separación OLTP/OLAP, DBaaS/Serverless).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 y Funcionalidad (Fase 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40%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Ejecución del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pipeline</w:t>
            </w:r>
            <w:r w:rsidDel="00000000" w:rsidR="00000000" w:rsidRPr="00000000">
              <w:rPr>
                <w:rtl w:val="0"/>
              </w:rPr>
              <w:t xml:space="preserve"> de principio a fin sin errores en una máquina limpia. Uso correcto de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boto3</w:t>
            </w:r>
            <w:r w:rsidDel="00000000" w:rsidR="00000000" w:rsidRPr="00000000">
              <w:rPr>
                <w:rtl w:val="0"/>
              </w:rPr>
              <w:t xml:space="preserve"> para LocalStack, transformaciones eficientes en PySpark y modelado SQL adecuado.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Buenas Prácticas (Clean Code y Contenedores)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Estructura organizada del repositorio, legibilidad del código Python (cumplimiento de PEP-8) y configuración correcta de los Dockerfiles/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docker-compose.yml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Documentación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Claridad del archivo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README.md</w:t>
            </w:r>
            <w:r w:rsidDel="00000000" w:rsidR="00000000" w:rsidRPr="00000000">
              <w:rPr>
                <w:rtl w:val="0"/>
              </w:rPr>
              <w:t xml:space="preserve"> con las instrucciones precisas y concisas para que el evaluador pueda replicar y ejecutar el MVP paso a paso.</w:t>
            </w:r>
          </w:p>
        </w:tc>
      </w:tr>
    </w:tbl>
    <w:p w:rsidR="00000000" w:rsidDel="00000000" w:rsidP="00000000" w:rsidRDefault="00000000" w:rsidRPr="00000000" w14:paraId="0000004B">
      <w:pPr>
        <w:pStyle w:val="Heading1"/>
        <w:rPr/>
      </w:pPr>
      <w:bookmarkStart w:colFirst="0" w:colLast="0" w:name="_tfuid1glnmd" w:id="8"/>
      <w:bookmarkEnd w:id="8"/>
      <w:r w:rsidDel="00000000" w:rsidR="00000000" w:rsidRPr="00000000">
        <w:rPr>
          <w:rtl w:val="0"/>
        </w:rPr>
        <w:t xml:space="preserve">5. Formato de Entrega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La entrega se realizará mediante los siguientes elementos: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Documentación (PDF):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Un único archivo PDF que contenga: el Diagrama de Arquitectura, la Justificación Tecnológica y la Estimación de Costes de la Fase 1.</w:t>
      </w:r>
    </w:p>
    <w:p w:rsidR="00000000" w:rsidDel="00000000" w:rsidP="00000000" w:rsidRDefault="00000000" w:rsidRPr="00000000" w14:paraId="00000050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Este documento PDF debe incluir obligatoriamente el enlace al Repositorio de Código.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Código Fuente: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Enlace a un repositorio de GitHub (público o con acceso invitado) o un archivo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.zip</w:t>
      </w:r>
      <w:r w:rsidDel="00000000" w:rsidR="00000000" w:rsidRPr="00000000">
        <w:rPr>
          <w:rtl w:val="0"/>
        </w:rPr>
        <w:t xml:space="preserve"> que contenga la estructura completa del proyecto:</w:t>
      </w:r>
    </w:p>
    <w:p w:rsidR="00000000" w:rsidDel="00000000" w:rsidP="00000000" w:rsidRDefault="00000000" w:rsidRPr="00000000" w14:paraId="00000053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Scripts de Python/PySpark</w:t>
      </w:r>
    </w:p>
    <w:p w:rsidR="00000000" w:rsidDel="00000000" w:rsidP="00000000" w:rsidRDefault="00000000" w:rsidRPr="00000000" w14:paraId="00000054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docker-compose.yml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requirements.txt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Archivos SQL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&lt;span type="placeholder" placeholder-type="file"&gt;&lt;/span&gt;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8">
      <w:pPr>
        <w:numPr>
          <w:ilvl w:val="2"/>
          <w:numId w:val="3"/>
        </w:numPr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Datasets</w:t>
      </w:r>
      <w:r w:rsidDel="00000000" w:rsidR="00000000" w:rsidRPr="00000000">
        <w:rPr>
          <w:rtl w:val="0"/>
        </w:rPr>
        <w:t xml:space="preserve"> de ejemplo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&lt;span type="placeholder" placeholder-type="file"&gt;&lt;/span&gt;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Para la revisión, asegúrese de que el evaluador pueda acceder y ejecutar la solución siguiendo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y utilizando únicamente el archivo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docker-compose.yml</w:t>
      </w:r>
      <w:r w:rsidDel="00000000" w:rsidR="00000000" w:rsidRPr="00000000">
        <w:rPr>
          <w:rtl w:val="0"/>
        </w:rPr>
        <w:t xml:space="preserve"> y los scripts proporcionados.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Inter Medium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1f1f1f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rFonts w:ascii="Inter Medium" w:cs="Inter Medium" w:eastAsia="Inter Medium" w:hAnsi="Inter Medium"/>
      <w:b w:val="1"/>
      <w:bCs w:val="1"/>
      <w:color w:val="1f1f1f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Inter Medium" w:cs="Inter Medium" w:eastAsia="Inter Medium" w:hAnsi="Inter Medium"/>
      <w:b w:val="1"/>
      <w:bCs w:val="1"/>
      <w:color w:val="1f1f1f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rFonts w:ascii="Inter Medium" w:cs="Inter Medium" w:eastAsia="Inter Medium" w:hAnsi="Inter Medium"/>
      <w:b w:val="1"/>
      <w:bCs w:val="1"/>
      <w:color w:val="1f1f1f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rFonts w:ascii="Inter Medium" w:cs="Inter Medium" w:eastAsia="Inter Medium" w:hAnsi="Inter Medium"/>
      <w:b w:val="1"/>
      <w:bCs w:val="1"/>
      <w:color w:val="1f1f1f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rFonts w:ascii="Inter Medium" w:cs="Inter Medium" w:eastAsia="Inter Medium" w:hAnsi="Inter Medium"/>
      <w:b w:val="1"/>
      <w:bCs w:val="1"/>
      <w:i w:val="1"/>
      <w:iCs w:val="1"/>
      <w:color w:val="1f1f1f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rFonts w:ascii="Inter" w:cs="Inter" w:eastAsia="Inter" w:hAnsi="Inter"/>
      <w:b w:val="1"/>
      <w:bCs w:val="1"/>
      <w:i w:val="1"/>
      <w:iCs w:val="1"/>
      <w:color w:val="1f1f1f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rFonts w:ascii="Inter Medium" w:cs="Inter Medium" w:eastAsia="Inter Medium" w:hAnsi="Inter Medium"/>
      <w:b w:val="1"/>
      <w:bCs w:val="1"/>
      <w:color w:val="1f1f1f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Inter" w:cs="Inter" w:eastAsia="Inter" w:hAnsi="Inter"/>
      <w:i w:val="1"/>
      <w:iCs w:val="1"/>
      <w:color w:val="1f1f1f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color w:val="1f1f1f"/>
        <w:sz w:val="22"/>
        <w:szCs w:val="22"/>
      </w:rPr>
      <w:tcPr>
        <w:tcBorders>
          <w:top w:color="000000" w:space="0" w:sz="0" w:val="nil"/>
        </w:tcBorders>
        <w:shd w:fill="f2f2ef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color w:val="1f1f1f"/>
        <w:sz w:val="22"/>
        <w:szCs w:val="22"/>
      </w:rPr>
      <w:tcPr>
        <w:tcBorders>
          <w:top w:color="000000" w:space="0" w:sz="0" w:val="nil"/>
        </w:tcBorders>
        <w:shd w:fill="f2f2ef" w:val="clear"/>
        <w:vAlign w:val="center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11" Type="http://schemas.openxmlformats.org/officeDocument/2006/relationships/font" Target="fonts/InterMedium-italic.ttf"/><Relationship Id="rId10" Type="http://schemas.openxmlformats.org/officeDocument/2006/relationships/font" Target="fonts/InterMedium-bold.ttf"/><Relationship Id="rId12" Type="http://schemas.openxmlformats.org/officeDocument/2006/relationships/font" Target="fonts/InterMedium-boldItalic.ttf"/><Relationship Id="rId9" Type="http://schemas.openxmlformats.org/officeDocument/2006/relationships/font" Target="fonts/InterMedium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