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7E065" w14:textId="5C31246E" w:rsidR="001F2191" w:rsidRDefault="0072688A">
      <w:pPr>
        <w:jc w:val="center"/>
      </w:pPr>
      <w:r>
        <w:rPr>
          <w:b/>
          <w:bCs/>
          <w:color w:val="5B3A85"/>
          <w:sz w:val="52"/>
          <w:szCs w:val="52"/>
        </w:rPr>
        <w:t>Meridian Solar</w:t>
      </w:r>
      <w:r w:rsidR="00874EE9">
        <w:rPr>
          <w:b/>
          <w:bCs/>
          <w:color w:val="5B3A85"/>
          <w:sz w:val="52"/>
          <w:szCs w:val="52"/>
        </w:rPr>
        <w:t xml:space="preserve"> Financial</w:t>
      </w:r>
    </w:p>
    <w:p w14:paraId="7B3A6CB7" w14:textId="6F5D584F" w:rsidR="001F2191" w:rsidRDefault="00874EE9">
      <w:pPr>
        <w:spacing w:after="200"/>
        <w:jc w:val="center"/>
      </w:pPr>
      <w:r>
        <w:rPr>
          <w:b/>
          <w:bCs/>
          <w:color w:val="5B3A85"/>
          <w:sz w:val="52"/>
          <w:szCs w:val="52"/>
        </w:rPr>
        <w:t>Performance Analy</w:t>
      </w:r>
      <w:r w:rsidR="0072688A">
        <w:rPr>
          <w:b/>
          <w:bCs/>
          <w:color w:val="5B3A85"/>
          <w:sz w:val="52"/>
          <w:szCs w:val="52"/>
        </w:rPr>
        <w:t>sis</w:t>
      </w:r>
    </w:p>
    <w:p w14:paraId="65CBDEC6" w14:textId="77777777" w:rsidR="008C3948" w:rsidRPr="008C3948" w:rsidRDefault="00874EE9" w:rsidP="008C3948">
      <w:pPr>
        <w:jc w:val="center"/>
      </w:pPr>
      <w:r w:rsidRPr="008C3948">
        <w:rPr>
          <w:color w:val="808080"/>
          <w:sz w:val="30"/>
          <w:szCs w:val="30"/>
        </w:rPr>
        <w:t>Methodology &amp; Documentation</w:t>
      </w:r>
    </w:p>
    <w:p w14:paraId="22943765" w14:textId="0BB62591" w:rsidR="001F2191" w:rsidRPr="008C3948" w:rsidRDefault="19E868BE" w:rsidP="008C3948">
      <w:pPr>
        <w:jc w:val="center"/>
        <w:rPr>
          <w:i/>
          <w:iCs/>
        </w:rPr>
      </w:pPr>
      <w:r w:rsidRPr="008C3948">
        <w:rPr>
          <w:i/>
          <w:iCs/>
          <w:color w:val="808080"/>
        </w:rPr>
        <w:t>Rogue Lafayette</w:t>
      </w:r>
    </w:p>
    <w:p w14:paraId="739CD305" w14:textId="65000B96" w:rsidR="19E868BE" w:rsidRDefault="19E868BE" w:rsidP="19E868BE">
      <w:pPr>
        <w:spacing w:after="400"/>
        <w:jc w:val="center"/>
        <w:rPr>
          <w:color w:val="808080"/>
        </w:rPr>
      </w:pPr>
    </w:p>
    <w:p w14:paraId="1DC48C3B" w14:textId="715742C6" w:rsidR="19E868BE" w:rsidRDefault="19E868BE" w:rsidP="19E868BE">
      <w:pPr>
        <w:spacing w:after="400"/>
        <w:jc w:val="center"/>
        <w:rPr>
          <w:color w:val="808080"/>
        </w:rPr>
      </w:pPr>
    </w:p>
    <w:p w14:paraId="74C42361" w14:textId="0EBFFE74" w:rsidR="001F2191" w:rsidRDefault="19E868BE">
      <w:pPr>
        <w:pStyle w:val="heading10"/>
      </w:pPr>
      <w:r w:rsidRPr="19E868BE">
        <w:t>Executive Overview</w:t>
      </w:r>
    </w:p>
    <w:p w14:paraId="5F7FA195" w14:textId="77777777" w:rsidR="001F2191" w:rsidRDefault="00874EE9">
      <w:pPr>
        <w:spacing w:after="100"/>
      </w:pPr>
      <w:r>
        <w:t>This dashboard analyzes workforce financial performance across a 5-project construction and renewable energy portfolio, spanning January 2024 through June 2026 (30 months). The analysis surfaces margin performance, cost drivers, workforce concentration, and overtime cost impact at portfolio, project, and craft levels.</w:t>
      </w:r>
    </w:p>
    <w:p w14:paraId="5BEEAE2F" w14:textId="77777777" w:rsidR="001F2191" w:rsidRDefault="00874EE9">
      <w:pPr>
        <w:pStyle w:val="heading30"/>
      </w:pPr>
      <w:r>
        <w:t>Business Context</w:t>
      </w:r>
    </w:p>
    <w:p w14:paraId="600E06D0" w14:textId="08D19DFD" w:rsidR="001F2191" w:rsidRDefault="005B3624">
      <w:pPr>
        <w:spacing w:after="100"/>
      </w:pPr>
      <w:r>
        <w:t>In the s</w:t>
      </w:r>
      <w:r w:rsidR="19E868BE" w:rsidRPr="19E868BE">
        <w:t>taffing industry</w:t>
      </w:r>
      <w:r>
        <w:t>,</w:t>
      </w:r>
      <w:r w:rsidR="19E868BE" w:rsidRPr="19E868BE">
        <w:t xml:space="preserve"> gross margin and workforce utilization are the primary levers of profitability. Granular margin tracking is critical for financial performance management </w:t>
      </w:r>
      <w:r w:rsidR="008C3948">
        <w:t>-</w:t>
      </w:r>
      <w:r w:rsidR="19E868BE" w:rsidRPr="19E868BE">
        <w:t xml:space="preserve"> a 1% margin compression on a $50M portfolio represents $500K in bottom-line impact.</w:t>
      </w:r>
    </w:p>
    <w:p w14:paraId="2F50273C" w14:textId="77777777" w:rsidR="001F2191" w:rsidRDefault="19E868BE">
      <w:pPr>
        <w:spacing w:after="100"/>
      </w:pPr>
      <w:r w:rsidRPr="19E868BE">
        <w:t>This portfolio represents a flagship client relationship where strategic pricing decisions have compressed margins below generic industry benchmarks. The dashboard is designed to surface these dynamics transparently rather than obscure them.</w:t>
      </w:r>
    </w:p>
    <w:p w14:paraId="6001D45A" w14:textId="77777777" w:rsidR="001F2191" w:rsidRDefault="00874EE9">
      <w:pPr>
        <w:pStyle w:val="heading30"/>
      </w:pPr>
      <w:r>
        <w:t>Dashboard Structure</w:t>
      </w:r>
    </w:p>
    <w:p w14:paraId="4B876BDD" w14:textId="3A9841B3" w:rsidR="001F2191" w:rsidRDefault="00874EE9">
      <w:pPr>
        <w:pStyle w:val="ListParagraph"/>
        <w:numPr>
          <w:ilvl w:val="0"/>
          <w:numId w:val="2"/>
        </w:numPr>
        <w:spacing w:after="60"/>
      </w:pPr>
      <w:r>
        <w:t xml:space="preserve">Executive Summary </w:t>
      </w:r>
      <w:r w:rsidR="00190E11">
        <w:t>-</w:t>
      </w:r>
      <w:r>
        <w:t xml:space="preserve"> 8 portfolio KPIs with health indicators</w:t>
      </w:r>
    </w:p>
    <w:p w14:paraId="7138375F" w14:textId="45B2EF4B" w:rsidR="001F2191" w:rsidRDefault="00874EE9">
      <w:pPr>
        <w:pStyle w:val="ListParagraph"/>
        <w:numPr>
          <w:ilvl w:val="0"/>
          <w:numId w:val="2"/>
        </w:numPr>
        <w:spacing w:after="60"/>
      </w:pPr>
      <w:r>
        <w:t xml:space="preserve">Financial Performance </w:t>
      </w:r>
      <w:r w:rsidR="00190E11">
        <w:t>-</w:t>
      </w:r>
      <w:r>
        <w:t xml:space="preserve"> Margin analysis, weekly trends, craft performance, overtime cost impact</w:t>
      </w:r>
    </w:p>
    <w:p w14:paraId="7F4BF775" w14:textId="2B2B1FAA" w:rsidR="001F2191" w:rsidRDefault="00874EE9">
      <w:pPr>
        <w:pStyle w:val="ListParagraph"/>
        <w:numPr>
          <w:ilvl w:val="0"/>
          <w:numId w:val="2"/>
        </w:numPr>
        <w:spacing w:after="60"/>
      </w:pPr>
      <w:r>
        <w:t xml:space="preserve">Methodology </w:t>
      </w:r>
      <w:r w:rsidR="00190E11">
        <w:t>-</w:t>
      </w:r>
      <w:r>
        <w:t xml:space="preserve"> Data source, metric definitions, and analytical decisions</w:t>
      </w:r>
    </w:p>
    <w:p w14:paraId="0A37501D" w14:textId="77777777" w:rsidR="001F2191" w:rsidRDefault="00874EE9">
      <w:r>
        <w:br w:type="page"/>
      </w:r>
    </w:p>
    <w:p w14:paraId="21656E10" w14:textId="77777777" w:rsidR="001F2191" w:rsidRDefault="00874EE9">
      <w:pPr>
        <w:pStyle w:val="heading10"/>
      </w:pPr>
      <w:r>
        <w:lastRenderedPageBreak/>
        <w:t>Data Source &amp; Anonymization</w:t>
      </w:r>
    </w:p>
    <w:p w14:paraId="76E63E74" w14:textId="77777777" w:rsidR="001F2191" w:rsidRDefault="00874EE9">
      <w:pPr>
        <w:pStyle w:val="heading20"/>
      </w:pPr>
      <w:r>
        <w:t>Source Data</w:t>
      </w:r>
    </w:p>
    <w:p w14:paraId="3A7086AA" w14:textId="77777777" w:rsidR="001F2191" w:rsidRDefault="00874EE9">
      <w:pPr>
        <w:spacing w:after="100"/>
      </w:pPr>
      <w:r>
        <w:t>Anonymized workforce financial data representative of staffing industry operations in the construction and renewable energy sectors. All identifiers, projects, and organizations have been transformed to preserve analytical relationships while removing identifying information.</w:t>
      </w:r>
    </w:p>
    <w:p w14:paraId="66BD714D" w14:textId="77777777" w:rsidR="001F2191" w:rsidRDefault="00874EE9">
      <w:pPr>
        <w:pStyle w:val="heading20"/>
      </w:pPr>
      <w:r>
        <w:t>Anonymization Approach</w:t>
      </w:r>
    </w:p>
    <w:p w14:paraId="52E3561A" w14:textId="77777777" w:rsidR="001F2191" w:rsidRDefault="00874EE9">
      <w:pPr>
        <w:pStyle w:val="ListParagraph"/>
        <w:numPr>
          <w:ilvl w:val="0"/>
          <w:numId w:val="2"/>
        </w:numPr>
        <w:spacing w:after="60"/>
      </w:pPr>
      <w:r>
        <w:t>Employee names replaced via mapping table (1,391 fictional names generated with demographic distribution matching source data)</w:t>
      </w:r>
    </w:p>
    <w:p w14:paraId="0048379F" w14:textId="58690B43" w:rsidR="001F2191" w:rsidRDefault="00874EE9">
      <w:pPr>
        <w:pStyle w:val="ListParagraph"/>
        <w:numPr>
          <w:ilvl w:val="0"/>
          <w:numId w:val="2"/>
        </w:numPr>
        <w:spacing w:after="60"/>
      </w:pPr>
      <w:r>
        <w:t xml:space="preserve">Employee IDs randomized </w:t>
      </w:r>
      <w:r w:rsidR="00190E11">
        <w:t>-</w:t>
      </w:r>
      <w:r>
        <w:t xml:space="preserve"> nothing resembling original values</w:t>
      </w:r>
    </w:p>
    <w:p w14:paraId="4D32492A" w14:textId="77777777" w:rsidR="001F2191" w:rsidRDefault="00874EE9">
      <w:pPr>
        <w:pStyle w:val="ListParagraph"/>
        <w:numPr>
          <w:ilvl w:val="0"/>
          <w:numId w:val="2"/>
        </w:numPr>
        <w:spacing w:after="60"/>
      </w:pPr>
      <w:r>
        <w:t>Client name replaced with fictional entity (Meridian Solar)</w:t>
      </w:r>
    </w:p>
    <w:p w14:paraId="43ADA67C" w14:textId="77777777" w:rsidR="001F2191" w:rsidRDefault="00874EE9">
      <w:pPr>
        <w:pStyle w:val="ListParagraph"/>
        <w:numPr>
          <w:ilvl w:val="0"/>
          <w:numId w:val="2"/>
        </w:numPr>
        <w:spacing w:after="60"/>
      </w:pPr>
      <w:r>
        <w:t>Project names replaced (Pine Star, Sage Valley, Aurora Grid, Coyote Flats, Twin Oaks)</w:t>
      </w:r>
    </w:p>
    <w:p w14:paraId="22F71291" w14:textId="77777777" w:rsidR="001F2191" w:rsidRDefault="00874EE9">
      <w:pPr>
        <w:pStyle w:val="ListParagraph"/>
        <w:numPr>
          <w:ilvl w:val="0"/>
          <w:numId w:val="2"/>
        </w:numPr>
        <w:spacing w:after="60"/>
      </w:pPr>
      <w:r>
        <w:t>Job titles renamed to industry-standard equivalents</w:t>
      </w:r>
    </w:p>
    <w:p w14:paraId="072F6079" w14:textId="77777777" w:rsidR="001F2191" w:rsidRDefault="00874EE9">
      <w:pPr>
        <w:pStyle w:val="ListParagraph"/>
        <w:numPr>
          <w:ilvl w:val="0"/>
          <w:numId w:val="2"/>
        </w:numPr>
        <w:spacing w:after="60"/>
      </w:pPr>
      <w:r>
        <w:t>Task codes and descriptions replaced with standardized taxonomy</w:t>
      </w:r>
    </w:p>
    <w:p w14:paraId="4195C125" w14:textId="77777777" w:rsidR="001F2191" w:rsidRDefault="00874EE9">
      <w:pPr>
        <w:pStyle w:val="ListParagraph"/>
        <w:numPr>
          <w:ilvl w:val="0"/>
          <w:numId w:val="2"/>
        </w:numPr>
        <w:spacing w:after="60"/>
      </w:pPr>
      <w:r>
        <w:t>Financial values scaled by consistent multiplier (1.17x) to obscure absolute dollar magnitudes while preserving analytical relationships</w:t>
      </w:r>
    </w:p>
    <w:p w14:paraId="584FC175" w14:textId="0414BDC6" w:rsidR="001F2191" w:rsidRDefault="00874EE9">
      <w:pPr>
        <w:pStyle w:val="ListParagraph"/>
        <w:numPr>
          <w:ilvl w:val="0"/>
          <w:numId w:val="2"/>
        </w:numPr>
        <w:spacing w:after="60"/>
      </w:pPr>
      <w:r>
        <w:t xml:space="preserve">Hours preserved as-recorded </w:t>
      </w:r>
      <w:r w:rsidR="00190E11">
        <w:t>-</w:t>
      </w:r>
      <w:r>
        <w:t xml:space="preserve"> scaling would break realistic weekly work pattern constraints</w:t>
      </w:r>
    </w:p>
    <w:p w14:paraId="4A2B848B" w14:textId="77777777" w:rsidR="001F2191" w:rsidRDefault="00874EE9">
      <w:pPr>
        <w:pStyle w:val="ListParagraph"/>
        <w:numPr>
          <w:ilvl w:val="0"/>
          <w:numId w:val="2"/>
        </w:numPr>
        <w:spacing w:after="60"/>
      </w:pPr>
      <w:r>
        <w:t>All source system connections removed; workbook metadata scrubbed</w:t>
      </w:r>
    </w:p>
    <w:p w14:paraId="50BFD055" w14:textId="77777777" w:rsidR="005B3624" w:rsidRDefault="005B3624" w:rsidP="005B3624">
      <w:pPr>
        <w:pStyle w:val="ListParagraph"/>
        <w:spacing w:after="60"/>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2191" w14:paraId="022CE9A8" w14:textId="77777777" w:rsidTr="19E868BE">
        <w:tc>
          <w:tcPr>
            <w:tcW w:w="9360" w:type="dxa"/>
            <w:tcBorders>
              <w:top w:val="single" w:sz="8" w:space="0" w:color="5B3A85"/>
              <w:left w:val="single" w:sz="8" w:space="0" w:color="5B3A85"/>
              <w:bottom w:val="single" w:sz="8" w:space="0" w:color="5B3A85"/>
              <w:right w:val="single" w:sz="8" w:space="0" w:color="5B3A85"/>
            </w:tcBorders>
            <w:shd w:val="clear" w:color="auto" w:fill="E4DEF0"/>
            <w:tcMar>
              <w:top w:w="160" w:type="dxa"/>
              <w:left w:w="200" w:type="dxa"/>
              <w:bottom w:w="160" w:type="dxa"/>
              <w:right w:w="200" w:type="dxa"/>
            </w:tcMar>
          </w:tcPr>
          <w:p w14:paraId="644891C1" w14:textId="77777777" w:rsidR="001F2191" w:rsidRDefault="19E868BE">
            <w:r w:rsidRPr="19E868BE">
              <w:rPr>
                <w:b/>
                <w:bCs/>
                <w:color w:val="5B3A85"/>
              </w:rPr>
              <w:t>Rationale: Hour values are preserved to maintain realistic weekly work pattern constraints. Financial values are scaled to obscure absolute dollar magnitudes while preserving analytical relationships.</w:t>
            </w:r>
          </w:p>
        </w:tc>
      </w:tr>
    </w:tbl>
    <w:p w14:paraId="5DAB6C7B" w14:textId="77777777" w:rsidR="001F2191" w:rsidRDefault="00874EE9">
      <w:r>
        <w:br w:type="page"/>
      </w:r>
    </w:p>
    <w:p w14:paraId="28D11BF5" w14:textId="77777777" w:rsidR="001F2191" w:rsidRDefault="00874EE9">
      <w:pPr>
        <w:pStyle w:val="heading10"/>
      </w:pPr>
      <w:r>
        <w:lastRenderedPageBreak/>
        <w:t>Data Structure &amp; Scope</w:t>
      </w:r>
    </w:p>
    <w:p w14:paraId="10B3D942" w14:textId="77777777" w:rsidR="001F2191" w:rsidRDefault="00874EE9">
      <w:pPr>
        <w:pStyle w:val="heading20"/>
      </w:pPr>
      <w:r>
        <w:t>Reporting Period</w:t>
      </w:r>
    </w:p>
    <w:p w14:paraId="32B216EE" w14:textId="2346DDF3" w:rsidR="001F2191" w:rsidRDefault="00874EE9">
      <w:pPr>
        <w:spacing w:after="100"/>
      </w:pPr>
      <w:r>
        <w:t xml:space="preserve">January 2024 through June 2026 </w:t>
      </w:r>
      <w:r w:rsidR="00190E11">
        <w:t>-</w:t>
      </w:r>
      <w:r>
        <w:t xml:space="preserve"> a 30-month window selected to balance historical depth with meaningful cross-project comparability. Earlier data existed for one project only, which would have created skewed portfolio views.</w:t>
      </w:r>
    </w:p>
    <w:p w14:paraId="153294A2" w14:textId="77777777" w:rsidR="001F2191" w:rsidRDefault="00874EE9">
      <w:pPr>
        <w:pStyle w:val="heading20"/>
      </w:pPr>
      <w:r>
        <w:t>Portfolio Composition</w:t>
      </w:r>
    </w:p>
    <w:p w14:paraId="0F02CDCE" w14:textId="0878837C" w:rsidR="001F2191" w:rsidRDefault="00874EE9">
      <w:pPr>
        <w:pStyle w:val="ListParagraph"/>
        <w:numPr>
          <w:ilvl w:val="0"/>
          <w:numId w:val="2"/>
        </w:numPr>
        <w:spacing w:after="60"/>
      </w:pPr>
      <w:r>
        <w:t xml:space="preserve">Pine Star </w:t>
      </w:r>
      <w:r w:rsidR="00190E11">
        <w:t>-</w:t>
      </w:r>
      <w:r>
        <w:t xml:space="preserve"> Flagship project completing execution phase</w:t>
      </w:r>
    </w:p>
    <w:p w14:paraId="671D988E" w14:textId="77921D31" w:rsidR="001F2191" w:rsidRDefault="00874EE9">
      <w:pPr>
        <w:pStyle w:val="ListParagraph"/>
        <w:numPr>
          <w:ilvl w:val="0"/>
          <w:numId w:val="2"/>
        </w:numPr>
        <w:spacing w:after="60"/>
      </w:pPr>
      <w:r>
        <w:t xml:space="preserve">Sage Valley </w:t>
      </w:r>
      <w:r w:rsidR="00190E11">
        <w:t>-</w:t>
      </w:r>
      <w:r>
        <w:t xml:space="preserve"> Mid-portfolio active engagement with aggressive ramp</w:t>
      </w:r>
    </w:p>
    <w:p w14:paraId="00189207" w14:textId="5A01BC5A" w:rsidR="001F2191" w:rsidRDefault="00874EE9">
      <w:pPr>
        <w:pStyle w:val="ListParagraph"/>
        <w:numPr>
          <w:ilvl w:val="0"/>
          <w:numId w:val="2"/>
        </w:numPr>
        <w:spacing w:after="60"/>
      </w:pPr>
      <w:r>
        <w:t xml:space="preserve">Aurora Grid </w:t>
      </w:r>
      <w:r w:rsidR="00190E11">
        <w:t>-</w:t>
      </w:r>
      <w:r>
        <w:t xml:space="preserve"> Ramping engagement</w:t>
      </w:r>
    </w:p>
    <w:p w14:paraId="0ACAB364" w14:textId="14B04729" w:rsidR="001F2191" w:rsidRDefault="00874EE9">
      <w:pPr>
        <w:pStyle w:val="ListParagraph"/>
        <w:numPr>
          <w:ilvl w:val="0"/>
          <w:numId w:val="2"/>
        </w:numPr>
        <w:spacing w:after="60"/>
      </w:pPr>
      <w:r>
        <w:t xml:space="preserve">Coyote Flats </w:t>
      </w:r>
      <w:r w:rsidR="00190E11">
        <w:t>-</w:t>
      </w:r>
      <w:r>
        <w:t xml:space="preserve"> California-based active engagement</w:t>
      </w:r>
    </w:p>
    <w:p w14:paraId="25B26368" w14:textId="1797338B" w:rsidR="001F2191" w:rsidRDefault="00874EE9">
      <w:pPr>
        <w:pStyle w:val="ListParagraph"/>
        <w:numPr>
          <w:ilvl w:val="0"/>
          <w:numId w:val="2"/>
        </w:numPr>
        <w:spacing w:after="60"/>
      </w:pPr>
      <w:r>
        <w:t xml:space="preserve">Twin Oaks </w:t>
      </w:r>
      <w:r w:rsidR="00190E11">
        <w:t>-</w:t>
      </w:r>
      <w:r>
        <w:t xml:space="preserve"> Smaller active engagement</w:t>
      </w:r>
    </w:p>
    <w:p w14:paraId="176AD9D9" w14:textId="77777777" w:rsidR="001F2191" w:rsidRDefault="00874EE9">
      <w:pPr>
        <w:pStyle w:val="heading20"/>
      </w:pPr>
      <w:r>
        <w:t>Data Structure</w:t>
      </w:r>
    </w:p>
    <w:p w14:paraId="5A58D64C" w14:textId="76408BB7" w:rsidR="001F2191" w:rsidRDefault="19E868BE">
      <w:pPr>
        <w:spacing w:after="100"/>
      </w:pPr>
      <w:r w:rsidRPr="19E868BE">
        <w:t xml:space="preserve">Fact-oriented </w:t>
      </w:r>
      <w:r w:rsidR="005B3624" w:rsidRPr="19E868BE">
        <w:t>timecard</w:t>
      </w:r>
      <w:r w:rsidRPr="19E868BE">
        <w:t xml:space="preserve"> data enriched with cost center, craft, project, and pay code dimensions. Each record represents a single timecard entry for one employee on one work date.</w:t>
      </w:r>
    </w:p>
    <w:p w14:paraId="7504D667" w14:textId="77777777" w:rsidR="001F2191" w:rsidRDefault="00874EE9">
      <w:pPr>
        <w:pStyle w:val="heading30"/>
      </w:pPr>
      <w:r>
        <w:t>Key Fields</w:t>
      </w:r>
    </w:p>
    <w:p w14:paraId="59B32F12" w14:textId="418DB060" w:rsidR="001F2191" w:rsidRDefault="00874EE9">
      <w:pPr>
        <w:pStyle w:val="ListParagraph"/>
        <w:numPr>
          <w:ilvl w:val="0"/>
          <w:numId w:val="2"/>
        </w:numPr>
        <w:spacing w:after="60"/>
      </w:pPr>
      <w:r>
        <w:t xml:space="preserve">Employee ID / Employee Name </w:t>
      </w:r>
      <w:r w:rsidR="00141958">
        <w:t>-</w:t>
      </w:r>
      <w:r>
        <w:t xml:space="preserve"> Fake randomized identifiers</w:t>
      </w:r>
    </w:p>
    <w:p w14:paraId="4A81B34D" w14:textId="5FB19658" w:rsidR="001F2191" w:rsidRDefault="00874EE9">
      <w:pPr>
        <w:pStyle w:val="ListParagraph"/>
        <w:numPr>
          <w:ilvl w:val="0"/>
          <w:numId w:val="2"/>
        </w:numPr>
        <w:spacing w:after="60"/>
      </w:pPr>
      <w:r>
        <w:t xml:space="preserve">Project Name </w:t>
      </w:r>
      <w:r w:rsidR="00141958">
        <w:t>-</w:t>
      </w:r>
      <w:r>
        <w:t xml:space="preserve"> Fictional project reference</w:t>
      </w:r>
    </w:p>
    <w:p w14:paraId="6E7C4DE4" w14:textId="7B79C6F8" w:rsidR="001F2191" w:rsidRDefault="00874EE9">
      <w:pPr>
        <w:pStyle w:val="ListParagraph"/>
        <w:numPr>
          <w:ilvl w:val="0"/>
          <w:numId w:val="2"/>
        </w:numPr>
        <w:spacing w:after="60"/>
      </w:pPr>
      <w:r>
        <w:t xml:space="preserve">Job Title </w:t>
      </w:r>
      <w:r w:rsidR="00141958">
        <w:t>-</w:t>
      </w:r>
      <w:r>
        <w:t xml:space="preserve"> Job classification / craft</w:t>
      </w:r>
    </w:p>
    <w:p w14:paraId="707219DD" w14:textId="004CC4E6" w:rsidR="001F2191" w:rsidRDefault="00874EE9">
      <w:pPr>
        <w:pStyle w:val="ListParagraph"/>
        <w:numPr>
          <w:ilvl w:val="0"/>
          <w:numId w:val="2"/>
        </w:numPr>
        <w:spacing w:after="60"/>
      </w:pPr>
      <w:r>
        <w:t xml:space="preserve">Work Date </w:t>
      </w:r>
      <w:r w:rsidR="00141958">
        <w:t>-</w:t>
      </w:r>
      <w:r>
        <w:t xml:space="preserve"> Transaction date</w:t>
      </w:r>
    </w:p>
    <w:p w14:paraId="03E56D8F" w14:textId="29A09407" w:rsidR="001F2191" w:rsidRDefault="00874EE9">
      <w:pPr>
        <w:pStyle w:val="ListParagraph"/>
        <w:numPr>
          <w:ilvl w:val="0"/>
          <w:numId w:val="2"/>
        </w:numPr>
        <w:spacing w:after="60"/>
      </w:pPr>
      <w:r>
        <w:t xml:space="preserve">Hours </w:t>
      </w:r>
      <w:r w:rsidR="002805D2">
        <w:t>-</w:t>
      </w:r>
      <w:r>
        <w:t xml:space="preserve"> Billable hours</w:t>
      </w:r>
    </w:p>
    <w:p w14:paraId="262FF5CF" w14:textId="2576B35E" w:rsidR="001F2191" w:rsidRDefault="00874EE9">
      <w:pPr>
        <w:pStyle w:val="ListParagraph"/>
        <w:numPr>
          <w:ilvl w:val="0"/>
          <w:numId w:val="2"/>
        </w:numPr>
        <w:spacing w:after="60"/>
      </w:pPr>
      <w:r>
        <w:t xml:space="preserve">Pay Rate / Bill Rate </w:t>
      </w:r>
      <w:r w:rsidR="002805D2">
        <w:t>-</w:t>
      </w:r>
      <w:r>
        <w:t xml:space="preserve"> Employee compensation rate / Client billing rate</w:t>
      </w:r>
    </w:p>
    <w:p w14:paraId="09A08C6C" w14:textId="0A76549D" w:rsidR="001F2191" w:rsidRDefault="00874EE9">
      <w:pPr>
        <w:pStyle w:val="ListParagraph"/>
        <w:numPr>
          <w:ilvl w:val="0"/>
          <w:numId w:val="2"/>
        </w:numPr>
        <w:spacing w:after="60"/>
      </w:pPr>
      <w:r>
        <w:t xml:space="preserve">Earn Code </w:t>
      </w:r>
      <w:r w:rsidR="002805D2">
        <w:t>-</w:t>
      </w:r>
      <w:r>
        <w:t xml:space="preserve"> Regular, Overtime, Travel, Travel OT, Per Diem</w:t>
      </w:r>
    </w:p>
    <w:p w14:paraId="02EB378F" w14:textId="77777777" w:rsidR="001F2191" w:rsidRDefault="00874EE9">
      <w:r>
        <w:br w:type="page"/>
      </w:r>
    </w:p>
    <w:p w14:paraId="779AC864" w14:textId="77777777" w:rsidR="001F2191" w:rsidRDefault="00874EE9">
      <w:pPr>
        <w:pStyle w:val="heading10"/>
      </w:pPr>
      <w:r>
        <w:lastRenderedPageBreak/>
        <w:t>Metric Definitions</w:t>
      </w:r>
    </w:p>
    <w:p w14:paraId="6F460357" w14:textId="77777777" w:rsidR="001F2191" w:rsidRDefault="00874EE9">
      <w:pPr>
        <w:pStyle w:val="heading30"/>
      </w:pPr>
      <w:r>
        <w:t>Total Hours</w:t>
      </w:r>
    </w:p>
    <w:p w14:paraId="200BE0AD" w14:textId="2FB9988E" w:rsidR="001F2191" w:rsidRDefault="19E868BE">
      <w:pPr>
        <w:spacing w:after="100"/>
      </w:pPr>
      <w:r w:rsidRPr="19E868BE">
        <w:t>Sum of worked hours across the reporting period, excluding Per Diem hours.</w:t>
      </w:r>
    </w:p>
    <w:p w14:paraId="4DCAD96E" w14:textId="77777777" w:rsidR="001F2191" w:rsidRDefault="19E868BE">
      <w:pPr>
        <w:spacing w:after="100"/>
        <w:ind w:left="360"/>
      </w:pPr>
      <w:r w:rsidRPr="19E868BE">
        <w:rPr>
          <w:rFonts w:ascii="Consolas" w:eastAsia="Consolas" w:hAnsi="Consolas" w:cs="Consolas"/>
          <w:color w:val="404040"/>
          <w:sz w:val="20"/>
          <w:szCs w:val="20"/>
        </w:rPr>
        <w:t>=</w:t>
      </w:r>
      <w:proofErr w:type="gramStart"/>
      <w:r w:rsidRPr="19E868BE">
        <w:rPr>
          <w:rFonts w:ascii="Consolas" w:eastAsia="Consolas" w:hAnsi="Consolas" w:cs="Consolas"/>
          <w:color w:val="404040"/>
          <w:sz w:val="20"/>
          <w:szCs w:val="20"/>
        </w:rPr>
        <w:t>SUMPRODUCT(</w:t>
      </w:r>
      <w:proofErr w:type="gramEnd"/>
      <w:r w:rsidRPr="19E868BE">
        <w:rPr>
          <w:rFonts w:ascii="Consolas" w:eastAsia="Consolas" w:hAnsi="Consolas" w:cs="Consolas"/>
          <w:color w:val="404040"/>
          <w:sz w:val="20"/>
          <w:szCs w:val="20"/>
        </w:rPr>
        <w:t>(</w:t>
      </w:r>
      <w:proofErr w:type="gramStart"/>
      <w:r w:rsidRPr="19E868BE">
        <w:rPr>
          <w:rFonts w:ascii="Consolas" w:eastAsia="Consolas" w:hAnsi="Consolas" w:cs="Consolas"/>
          <w:color w:val="404040"/>
          <w:sz w:val="20"/>
          <w:szCs w:val="20"/>
        </w:rPr>
        <w:t>Dataset[</w:t>
      </w:r>
      <w:proofErr w:type="gramEnd"/>
      <w:r w:rsidRPr="19E868BE">
        <w:rPr>
          <w:rFonts w:ascii="Consolas" w:eastAsia="Consolas" w:hAnsi="Consolas" w:cs="Consolas"/>
          <w:color w:val="404040"/>
          <w:sz w:val="20"/>
          <w:szCs w:val="20"/>
        </w:rPr>
        <w:t xml:space="preserve">Earn </w:t>
      </w:r>
      <w:proofErr w:type="gramStart"/>
      <w:r w:rsidRPr="19E868BE">
        <w:rPr>
          <w:rFonts w:ascii="Consolas" w:eastAsia="Consolas" w:hAnsi="Consolas" w:cs="Consolas"/>
          <w:color w:val="404040"/>
          <w:sz w:val="20"/>
          <w:szCs w:val="20"/>
        </w:rPr>
        <w:t>Code]&lt;</w:t>
      </w:r>
      <w:proofErr w:type="gramEnd"/>
      <w:r w:rsidRPr="19E868BE">
        <w:rPr>
          <w:rFonts w:ascii="Consolas" w:eastAsia="Consolas" w:hAnsi="Consolas" w:cs="Consolas"/>
          <w:color w:val="404040"/>
          <w:sz w:val="20"/>
          <w:szCs w:val="20"/>
        </w:rPr>
        <w:t>&gt;"Per Diem</w:t>
      </w:r>
      <w:proofErr w:type="gramStart"/>
      <w:r w:rsidRPr="19E868BE">
        <w:rPr>
          <w:rFonts w:ascii="Consolas" w:eastAsia="Consolas" w:hAnsi="Consolas" w:cs="Consolas"/>
          <w:color w:val="404040"/>
          <w:sz w:val="20"/>
          <w:szCs w:val="20"/>
        </w:rPr>
        <w:t>")*Dataset[</w:t>
      </w:r>
      <w:proofErr w:type="gramEnd"/>
      <w:r w:rsidRPr="19E868BE">
        <w:rPr>
          <w:rFonts w:ascii="Consolas" w:eastAsia="Consolas" w:hAnsi="Consolas" w:cs="Consolas"/>
          <w:color w:val="404040"/>
          <w:sz w:val="20"/>
          <w:szCs w:val="20"/>
        </w:rPr>
        <w:t>Hours])</w:t>
      </w:r>
    </w:p>
    <w:p w14:paraId="3A4A2354" w14:textId="77777777" w:rsidR="001F2191" w:rsidRDefault="00874EE9">
      <w:pPr>
        <w:pStyle w:val="heading30"/>
      </w:pPr>
      <w:r>
        <w:t>Total Labor Cost</w:t>
      </w:r>
    </w:p>
    <w:p w14:paraId="6BEDF04A" w14:textId="77777777" w:rsidR="001F2191" w:rsidRDefault="00874EE9">
      <w:pPr>
        <w:spacing w:after="100"/>
      </w:pPr>
      <w:r>
        <w:t>Aggregate workforce compensation. Includes all pay codes to reflect full P&amp;L cost.</w:t>
      </w:r>
    </w:p>
    <w:p w14:paraId="4198324B" w14:textId="77777777" w:rsidR="001F2191" w:rsidRDefault="19E868BE">
      <w:pPr>
        <w:spacing w:after="100"/>
        <w:ind w:left="360"/>
      </w:pPr>
      <w:r w:rsidRPr="19E868BE">
        <w:rPr>
          <w:rFonts w:ascii="Consolas" w:eastAsia="Consolas" w:hAnsi="Consolas" w:cs="Consolas"/>
          <w:color w:val="404040"/>
          <w:sz w:val="20"/>
          <w:szCs w:val="20"/>
        </w:rPr>
        <w:t>=SUMPRODUCT(</w:t>
      </w:r>
      <w:proofErr w:type="gramStart"/>
      <w:r w:rsidRPr="19E868BE">
        <w:rPr>
          <w:rFonts w:ascii="Consolas" w:eastAsia="Consolas" w:hAnsi="Consolas" w:cs="Consolas"/>
          <w:color w:val="404040"/>
          <w:sz w:val="20"/>
          <w:szCs w:val="20"/>
        </w:rPr>
        <w:t>Dataset[</w:t>
      </w:r>
      <w:proofErr w:type="gramEnd"/>
      <w:r w:rsidRPr="19E868BE">
        <w:rPr>
          <w:rFonts w:ascii="Consolas" w:eastAsia="Consolas" w:hAnsi="Consolas" w:cs="Consolas"/>
          <w:color w:val="404040"/>
          <w:sz w:val="20"/>
          <w:szCs w:val="20"/>
        </w:rPr>
        <w:t>Hours]*</w:t>
      </w:r>
      <w:proofErr w:type="gramStart"/>
      <w:r w:rsidRPr="19E868BE">
        <w:rPr>
          <w:rFonts w:ascii="Consolas" w:eastAsia="Consolas" w:hAnsi="Consolas" w:cs="Consolas"/>
          <w:color w:val="404040"/>
          <w:sz w:val="20"/>
          <w:szCs w:val="20"/>
        </w:rPr>
        <w:t>Dataset[</w:t>
      </w:r>
      <w:proofErr w:type="gramEnd"/>
      <w:r w:rsidRPr="19E868BE">
        <w:rPr>
          <w:rFonts w:ascii="Consolas" w:eastAsia="Consolas" w:hAnsi="Consolas" w:cs="Consolas"/>
          <w:color w:val="404040"/>
          <w:sz w:val="20"/>
          <w:szCs w:val="20"/>
        </w:rPr>
        <w:t>Pay Rate])</w:t>
      </w:r>
    </w:p>
    <w:p w14:paraId="1C1FCDC1" w14:textId="77777777" w:rsidR="001F2191" w:rsidRDefault="00874EE9">
      <w:pPr>
        <w:pStyle w:val="heading30"/>
      </w:pPr>
      <w:r>
        <w:t>Total Billings</w:t>
      </w:r>
    </w:p>
    <w:p w14:paraId="1D5116E1" w14:textId="77777777" w:rsidR="001F2191" w:rsidRDefault="00874EE9">
      <w:pPr>
        <w:spacing w:after="100"/>
      </w:pPr>
      <w:r>
        <w:t>Aggregate client billing revenue. Includes all pay codes to reflect full P&amp;L revenue.</w:t>
      </w:r>
    </w:p>
    <w:p w14:paraId="37647B4F" w14:textId="77777777" w:rsidR="001F2191" w:rsidRDefault="19E868BE">
      <w:pPr>
        <w:spacing w:after="100"/>
        <w:ind w:left="360"/>
      </w:pPr>
      <w:r w:rsidRPr="19E868BE">
        <w:rPr>
          <w:rFonts w:ascii="Consolas" w:eastAsia="Consolas" w:hAnsi="Consolas" w:cs="Consolas"/>
          <w:color w:val="404040"/>
          <w:sz w:val="20"/>
          <w:szCs w:val="20"/>
        </w:rPr>
        <w:t>=SUMPRODUCT(</w:t>
      </w:r>
      <w:proofErr w:type="gramStart"/>
      <w:r w:rsidRPr="19E868BE">
        <w:rPr>
          <w:rFonts w:ascii="Consolas" w:eastAsia="Consolas" w:hAnsi="Consolas" w:cs="Consolas"/>
          <w:color w:val="404040"/>
          <w:sz w:val="20"/>
          <w:szCs w:val="20"/>
        </w:rPr>
        <w:t>Dataset[</w:t>
      </w:r>
      <w:proofErr w:type="gramEnd"/>
      <w:r w:rsidRPr="19E868BE">
        <w:rPr>
          <w:rFonts w:ascii="Consolas" w:eastAsia="Consolas" w:hAnsi="Consolas" w:cs="Consolas"/>
          <w:color w:val="404040"/>
          <w:sz w:val="20"/>
          <w:szCs w:val="20"/>
        </w:rPr>
        <w:t>Hours]*</w:t>
      </w:r>
      <w:proofErr w:type="gramStart"/>
      <w:r w:rsidRPr="19E868BE">
        <w:rPr>
          <w:rFonts w:ascii="Consolas" w:eastAsia="Consolas" w:hAnsi="Consolas" w:cs="Consolas"/>
          <w:color w:val="404040"/>
          <w:sz w:val="20"/>
          <w:szCs w:val="20"/>
        </w:rPr>
        <w:t>Dataset[</w:t>
      </w:r>
      <w:proofErr w:type="gramEnd"/>
      <w:r w:rsidRPr="19E868BE">
        <w:rPr>
          <w:rFonts w:ascii="Consolas" w:eastAsia="Consolas" w:hAnsi="Consolas" w:cs="Consolas"/>
          <w:color w:val="404040"/>
          <w:sz w:val="20"/>
          <w:szCs w:val="20"/>
        </w:rPr>
        <w:t>Bill Rate])</w:t>
      </w:r>
    </w:p>
    <w:p w14:paraId="7EDB2E69" w14:textId="77777777" w:rsidR="001F2191" w:rsidRDefault="00874EE9">
      <w:pPr>
        <w:pStyle w:val="heading30"/>
      </w:pPr>
      <w:r>
        <w:t>Gross Margin ($)</w:t>
      </w:r>
    </w:p>
    <w:p w14:paraId="58009EF4" w14:textId="77777777" w:rsidR="001F2191" w:rsidRDefault="00874EE9">
      <w:pPr>
        <w:spacing w:after="100"/>
      </w:pPr>
      <w:r>
        <w:t>Contribution margin before overhead allocation.</w:t>
      </w:r>
    </w:p>
    <w:p w14:paraId="10165991" w14:textId="77777777" w:rsidR="001F2191" w:rsidRDefault="00874EE9">
      <w:pPr>
        <w:spacing w:after="100"/>
        <w:ind w:left="360"/>
      </w:pPr>
      <w:r>
        <w:rPr>
          <w:rFonts w:ascii="Consolas" w:eastAsia="Consolas" w:hAnsi="Consolas" w:cs="Consolas"/>
          <w:color w:val="404040"/>
          <w:sz w:val="20"/>
          <w:szCs w:val="20"/>
        </w:rPr>
        <w:t>= Total Billings - Total Labor Cost</w:t>
      </w:r>
    </w:p>
    <w:p w14:paraId="1C0E888A" w14:textId="77777777" w:rsidR="001F2191" w:rsidRDefault="00874EE9">
      <w:pPr>
        <w:pStyle w:val="heading30"/>
      </w:pPr>
      <w:r>
        <w:t>Gross Margin (%)</w:t>
      </w:r>
    </w:p>
    <w:p w14:paraId="47D1999C" w14:textId="77777777" w:rsidR="001F2191" w:rsidRDefault="00874EE9">
      <w:pPr>
        <w:spacing w:after="100"/>
      </w:pPr>
      <w:r>
        <w:t>Primary executive-level profitability indicator.</w:t>
      </w:r>
    </w:p>
    <w:p w14:paraId="0C720D94" w14:textId="77777777" w:rsidR="001F2191" w:rsidRDefault="00874EE9">
      <w:pPr>
        <w:spacing w:after="100"/>
        <w:ind w:left="360"/>
      </w:pPr>
      <w:r>
        <w:rPr>
          <w:rFonts w:ascii="Consolas" w:eastAsia="Consolas" w:hAnsi="Consolas" w:cs="Consolas"/>
          <w:color w:val="404040"/>
          <w:sz w:val="20"/>
          <w:szCs w:val="20"/>
        </w:rPr>
        <w:t>= Gross Margin $ / Total Billings</w:t>
      </w:r>
    </w:p>
    <w:p w14:paraId="247A718E" w14:textId="77777777" w:rsidR="001F2191" w:rsidRDefault="00874EE9">
      <w:pPr>
        <w:pStyle w:val="heading30"/>
      </w:pPr>
      <w:r>
        <w:t>Effective Bill Rate</w:t>
      </w:r>
    </w:p>
    <w:p w14:paraId="3090915E" w14:textId="77777777" w:rsidR="001F2191" w:rsidRDefault="19E868BE">
      <w:pPr>
        <w:spacing w:after="100"/>
      </w:pPr>
      <w:r w:rsidRPr="19E868BE">
        <w:t>Weighted average client billing rate. Excludes Per Diem (flat daily allowance, not an hourly rate).</w:t>
      </w:r>
    </w:p>
    <w:p w14:paraId="72238114" w14:textId="77777777" w:rsidR="001F2191" w:rsidRDefault="19E868BE">
      <w:pPr>
        <w:spacing w:after="100"/>
        <w:ind w:left="360"/>
      </w:pPr>
      <w:r w:rsidRPr="19E868BE">
        <w:rPr>
          <w:rFonts w:ascii="Consolas" w:eastAsia="Consolas" w:hAnsi="Consolas" w:cs="Consolas"/>
          <w:color w:val="404040"/>
          <w:sz w:val="20"/>
          <w:szCs w:val="20"/>
        </w:rPr>
        <w:t>=</w:t>
      </w:r>
      <w:proofErr w:type="gramStart"/>
      <w:r w:rsidRPr="19E868BE">
        <w:rPr>
          <w:rFonts w:ascii="Consolas" w:eastAsia="Consolas" w:hAnsi="Consolas" w:cs="Consolas"/>
          <w:color w:val="404040"/>
          <w:sz w:val="20"/>
          <w:szCs w:val="20"/>
        </w:rPr>
        <w:t>SUMPRODUCT(</w:t>
      </w:r>
      <w:proofErr w:type="gramEnd"/>
      <w:r w:rsidRPr="19E868BE">
        <w:rPr>
          <w:rFonts w:ascii="Consolas" w:eastAsia="Consolas" w:hAnsi="Consolas" w:cs="Consolas"/>
          <w:color w:val="404040"/>
          <w:sz w:val="20"/>
          <w:szCs w:val="20"/>
        </w:rPr>
        <w:t>(</w:t>
      </w:r>
      <w:proofErr w:type="gramStart"/>
      <w:r w:rsidRPr="19E868BE">
        <w:rPr>
          <w:rFonts w:ascii="Consolas" w:eastAsia="Consolas" w:hAnsi="Consolas" w:cs="Consolas"/>
          <w:color w:val="404040"/>
          <w:sz w:val="20"/>
          <w:szCs w:val="20"/>
        </w:rPr>
        <w:t>Dataset[</w:t>
      </w:r>
      <w:proofErr w:type="gramEnd"/>
      <w:r w:rsidRPr="19E868BE">
        <w:rPr>
          <w:rFonts w:ascii="Consolas" w:eastAsia="Consolas" w:hAnsi="Consolas" w:cs="Consolas"/>
          <w:color w:val="404040"/>
          <w:sz w:val="20"/>
          <w:szCs w:val="20"/>
        </w:rPr>
        <w:t xml:space="preserve">Earn </w:t>
      </w:r>
      <w:proofErr w:type="gramStart"/>
      <w:r w:rsidRPr="19E868BE">
        <w:rPr>
          <w:rFonts w:ascii="Consolas" w:eastAsia="Consolas" w:hAnsi="Consolas" w:cs="Consolas"/>
          <w:color w:val="404040"/>
          <w:sz w:val="20"/>
          <w:szCs w:val="20"/>
        </w:rPr>
        <w:t>Code]&lt;</w:t>
      </w:r>
      <w:proofErr w:type="gramEnd"/>
      <w:r w:rsidRPr="19E868BE">
        <w:rPr>
          <w:rFonts w:ascii="Consolas" w:eastAsia="Consolas" w:hAnsi="Consolas" w:cs="Consolas"/>
          <w:color w:val="404040"/>
          <w:sz w:val="20"/>
          <w:szCs w:val="20"/>
        </w:rPr>
        <w:t>&gt;"Per Diem</w:t>
      </w:r>
      <w:proofErr w:type="gramStart"/>
      <w:r w:rsidRPr="19E868BE">
        <w:rPr>
          <w:rFonts w:ascii="Consolas" w:eastAsia="Consolas" w:hAnsi="Consolas" w:cs="Consolas"/>
          <w:color w:val="404040"/>
          <w:sz w:val="20"/>
          <w:szCs w:val="20"/>
        </w:rPr>
        <w:t>")*Dataset[</w:t>
      </w:r>
      <w:proofErr w:type="gramEnd"/>
      <w:r w:rsidRPr="19E868BE">
        <w:rPr>
          <w:rFonts w:ascii="Consolas" w:eastAsia="Consolas" w:hAnsi="Consolas" w:cs="Consolas"/>
          <w:color w:val="404040"/>
          <w:sz w:val="20"/>
          <w:szCs w:val="20"/>
        </w:rPr>
        <w:t>Hours]*</w:t>
      </w:r>
      <w:proofErr w:type="gramStart"/>
      <w:r w:rsidRPr="19E868BE">
        <w:rPr>
          <w:rFonts w:ascii="Consolas" w:eastAsia="Consolas" w:hAnsi="Consolas" w:cs="Consolas"/>
          <w:color w:val="404040"/>
          <w:sz w:val="20"/>
          <w:szCs w:val="20"/>
        </w:rPr>
        <w:t>Dataset[</w:t>
      </w:r>
      <w:proofErr w:type="gramEnd"/>
      <w:r w:rsidRPr="19E868BE">
        <w:rPr>
          <w:rFonts w:ascii="Consolas" w:eastAsia="Consolas" w:hAnsi="Consolas" w:cs="Consolas"/>
          <w:color w:val="404040"/>
          <w:sz w:val="20"/>
          <w:szCs w:val="20"/>
        </w:rPr>
        <w:t>Bill Rate])</w:t>
      </w:r>
    </w:p>
    <w:p w14:paraId="42576DE8" w14:textId="77777777" w:rsidR="001F2191" w:rsidRDefault="19E868BE">
      <w:pPr>
        <w:spacing w:after="100"/>
        <w:ind w:left="360"/>
      </w:pPr>
      <w:r w:rsidRPr="19E868BE">
        <w:rPr>
          <w:rFonts w:ascii="Consolas" w:eastAsia="Consolas" w:hAnsi="Consolas" w:cs="Consolas"/>
          <w:color w:val="404040"/>
          <w:sz w:val="20"/>
          <w:szCs w:val="20"/>
        </w:rPr>
        <w:t xml:space="preserve">  / </w:t>
      </w:r>
      <w:proofErr w:type="gramStart"/>
      <w:r w:rsidRPr="19E868BE">
        <w:rPr>
          <w:rFonts w:ascii="Consolas" w:eastAsia="Consolas" w:hAnsi="Consolas" w:cs="Consolas"/>
          <w:color w:val="404040"/>
          <w:sz w:val="20"/>
          <w:szCs w:val="20"/>
        </w:rPr>
        <w:t>SUMPRODUCT(</w:t>
      </w:r>
      <w:proofErr w:type="gramEnd"/>
      <w:r w:rsidRPr="19E868BE">
        <w:rPr>
          <w:rFonts w:ascii="Consolas" w:eastAsia="Consolas" w:hAnsi="Consolas" w:cs="Consolas"/>
          <w:color w:val="404040"/>
          <w:sz w:val="20"/>
          <w:szCs w:val="20"/>
        </w:rPr>
        <w:t>(</w:t>
      </w:r>
      <w:proofErr w:type="gramStart"/>
      <w:r w:rsidRPr="19E868BE">
        <w:rPr>
          <w:rFonts w:ascii="Consolas" w:eastAsia="Consolas" w:hAnsi="Consolas" w:cs="Consolas"/>
          <w:color w:val="404040"/>
          <w:sz w:val="20"/>
          <w:szCs w:val="20"/>
        </w:rPr>
        <w:t>Dataset[</w:t>
      </w:r>
      <w:proofErr w:type="gramEnd"/>
      <w:r w:rsidRPr="19E868BE">
        <w:rPr>
          <w:rFonts w:ascii="Consolas" w:eastAsia="Consolas" w:hAnsi="Consolas" w:cs="Consolas"/>
          <w:color w:val="404040"/>
          <w:sz w:val="20"/>
          <w:szCs w:val="20"/>
        </w:rPr>
        <w:t xml:space="preserve">Earn </w:t>
      </w:r>
      <w:proofErr w:type="gramStart"/>
      <w:r w:rsidRPr="19E868BE">
        <w:rPr>
          <w:rFonts w:ascii="Consolas" w:eastAsia="Consolas" w:hAnsi="Consolas" w:cs="Consolas"/>
          <w:color w:val="404040"/>
          <w:sz w:val="20"/>
          <w:szCs w:val="20"/>
        </w:rPr>
        <w:t>Code]&lt;</w:t>
      </w:r>
      <w:proofErr w:type="gramEnd"/>
      <w:r w:rsidRPr="19E868BE">
        <w:rPr>
          <w:rFonts w:ascii="Consolas" w:eastAsia="Consolas" w:hAnsi="Consolas" w:cs="Consolas"/>
          <w:color w:val="404040"/>
          <w:sz w:val="20"/>
          <w:szCs w:val="20"/>
        </w:rPr>
        <w:t>&gt;"Per Diem</w:t>
      </w:r>
      <w:proofErr w:type="gramStart"/>
      <w:r w:rsidRPr="19E868BE">
        <w:rPr>
          <w:rFonts w:ascii="Consolas" w:eastAsia="Consolas" w:hAnsi="Consolas" w:cs="Consolas"/>
          <w:color w:val="404040"/>
          <w:sz w:val="20"/>
          <w:szCs w:val="20"/>
        </w:rPr>
        <w:t>")*Dataset[</w:t>
      </w:r>
      <w:proofErr w:type="gramEnd"/>
      <w:r w:rsidRPr="19E868BE">
        <w:rPr>
          <w:rFonts w:ascii="Consolas" w:eastAsia="Consolas" w:hAnsi="Consolas" w:cs="Consolas"/>
          <w:color w:val="404040"/>
          <w:sz w:val="20"/>
          <w:szCs w:val="20"/>
        </w:rPr>
        <w:t>Hours])</w:t>
      </w:r>
    </w:p>
    <w:p w14:paraId="53FFE3C2" w14:textId="77777777" w:rsidR="001F2191" w:rsidRDefault="00874EE9">
      <w:pPr>
        <w:pStyle w:val="heading30"/>
      </w:pPr>
      <w:r>
        <w:t>Effective Pay Rate</w:t>
      </w:r>
    </w:p>
    <w:p w14:paraId="4B41A6AA" w14:textId="77777777" w:rsidR="001F2191" w:rsidRDefault="00874EE9">
      <w:pPr>
        <w:spacing w:after="100"/>
      </w:pPr>
      <w:r>
        <w:t>Weighted average employee compensation rate. Excludes Per Diem for the same reason.</w:t>
      </w:r>
    </w:p>
    <w:p w14:paraId="6F141763" w14:textId="77777777" w:rsidR="001F2191" w:rsidRDefault="19E868BE">
      <w:pPr>
        <w:spacing w:after="100"/>
        <w:ind w:left="360"/>
      </w:pPr>
      <w:r w:rsidRPr="19E868BE">
        <w:rPr>
          <w:rFonts w:ascii="Consolas" w:eastAsia="Consolas" w:hAnsi="Consolas" w:cs="Consolas"/>
          <w:color w:val="404040"/>
          <w:sz w:val="20"/>
          <w:szCs w:val="20"/>
        </w:rPr>
        <w:t>=</w:t>
      </w:r>
      <w:proofErr w:type="gramStart"/>
      <w:r w:rsidRPr="19E868BE">
        <w:rPr>
          <w:rFonts w:ascii="Consolas" w:eastAsia="Consolas" w:hAnsi="Consolas" w:cs="Consolas"/>
          <w:color w:val="404040"/>
          <w:sz w:val="20"/>
          <w:szCs w:val="20"/>
        </w:rPr>
        <w:t>SUMPRODUCT(</w:t>
      </w:r>
      <w:proofErr w:type="gramEnd"/>
      <w:r w:rsidRPr="19E868BE">
        <w:rPr>
          <w:rFonts w:ascii="Consolas" w:eastAsia="Consolas" w:hAnsi="Consolas" w:cs="Consolas"/>
          <w:color w:val="404040"/>
          <w:sz w:val="20"/>
          <w:szCs w:val="20"/>
        </w:rPr>
        <w:t>(</w:t>
      </w:r>
      <w:proofErr w:type="gramStart"/>
      <w:r w:rsidRPr="19E868BE">
        <w:rPr>
          <w:rFonts w:ascii="Consolas" w:eastAsia="Consolas" w:hAnsi="Consolas" w:cs="Consolas"/>
          <w:color w:val="404040"/>
          <w:sz w:val="20"/>
          <w:szCs w:val="20"/>
        </w:rPr>
        <w:t>Dataset[</w:t>
      </w:r>
      <w:proofErr w:type="gramEnd"/>
      <w:r w:rsidRPr="19E868BE">
        <w:rPr>
          <w:rFonts w:ascii="Consolas" w:eastAsia="Consolas" w:hAnsi="Consolas" w:cs="Consolas"/>
          <w:color w:val="404040"/>
          <w:sz w:val="20"/>
          <w:szCs w:val="20"/>
        </w:rPr>
        <w:t xml:space="preserve">Earn </w:t>
      </w:r>
      <w:proofErr w:type="gramStart"/>
      <w:r w:rsidRPr="19E868BE">
        <w:rPr>
          <w:rFonts w:ascii="Consolas" w:eastAsia="Consolas" w:hAnsi="Consolas" w:cs="Consolas"/>
          <w:color w:val="404040"/>
          <w:sz w:val="20"/>
          <w:szCs w:val="20"/>
        </w:rPr>
        <w:t>Code]&lt;</w:t>
      </w:r>
      <w:proofErr w:type="gramEnd"/>
      <w:r w:rsidRPr="19E868BE">
        <w:rPr>
          <w:rFonts w:ascii="Consolas" w:eastAsia="Consolas" w:hAnsi="Consolas" w:cs="Consolas"/>
          <w:color w:val="404040"/>
          <w:sz w:val="20"/>
          <w:szCs w:val="20"/>
        </w:rPr>
        <w:t>&gt;"Per Diem</w:t>
      </w:r>
      <w:proofErr w:type="gramStart"/>
      <w:r w:rsidRPr="19E868BE">
        <w:rPr>
          <w:rFonts w:ascii="Consolas" w:eastAsia="Consolas" w:hAnsi="Consolas" w:cs="Consolas"/>
          <w:color w:val="404040"/>
          <w:sz w:val="20"/>
          <w:szCs w:val="20"/>
        </w:rPr>
        <w:t>")*Dataset[</w:t>
      </w:r>
      <w:proofErr w:type="gramEnd"/>
      <w:r w:rsidRPr="19E868BE">
        <w:rPr>
          <w:rFonts w:ascii="Consolas" w:eastAsia="Consolas" w:hAnsi="Consolas" w:cs="Consolas"/>
          <w:color w:val="404040"/>
          <w:sz w:val="20"/>
          <w:szCs w:val="20"/>
        </w:rPr>
        <w:t>Hours]*</w:t>
      </w:r>
      <w:proofErr w:type="gramStart"/>
      <w:r w:rsidRPr="19E868BE">
        <w:rPr>
          <w:rFonts w:ascii="Consolas" w:eastAsia="Consolas" w:hAnsi="Consolas" w:cs="Consolas"/>
          <w:color w:val="404040"/>
          <w:sz w:val="20"/>
          <w:szCs w:val="20"/>
        </w:rPr>
        <w:t>Dataset[</w:t>
      </w:r>
      <w:proofErr w:type="gramEnd"/>
      <w:r w:rsidRPr="19E868BE">
        <w:rPr>
          <w:rFonts w:ascii="Consolas" w:eastAsia="Consolas" w:hAnsi="Consolas" w:cs="Consolas"/>
          <w:color w:val="404040"/>
          <w:sz w:val="20"/>
          <w:szCs w:val="20"/>
        </w:rPr>
        <w:t>Pay Rate])</w:t>
      </w:r>
    </w:p>
    <w:p w14:paraId="5F3709D1" w14:textId="77777777" w:rsidR="001F2191" w:rsidRDefault="19E868BE">
      <w:pPr>
        <w:spacing w:after="100"/>
        <w:ind w:left="360"/>
      </w:pPr>
      <w:r w:rsidRPr="19E868BE">
        <w:rPr>
          <w:rFonts w:ascii="Consolas" w:eastAsia="Consolas" w:hAnsi="Consolas" w:cs="Consolas"/>
          <w:color w:val="404040"/>
          <w:sz w:val="20"/>
          <w:szCs w:val="20"/>
        </w:rPr>
        <w:t xml:space="preserve">  / </w:t>
      </w:r>
      <w:proofErr w:type="gramStart"/>
      <w:r w:rsidRPr="19E868BE">
        <w:rPr>
          <w:rFonts w:ascii="Consolas" w:eastAsia="Consolas" w:hAnsi="Consolas" w:cs="Consolas"/>
          <w:color w:val="404040"/>
          <w:sz w:val="20"/>
          <w:szCs w:val="20"/>
        </w:rPr>
        <w:t>SUMPRODUCT(</w:t>
      </w:r>
      <w:proofErr w:type="gramEnd"/>
      <w:r w:rsidRPr="19E868BE">
        <w:rPr>
          <w:rFonts w:ascii="Consolas" w:eastAsia="Consolas" w:hAnsi="Consolas" w:cs="Consolas"/>
          <w:color w:val="404040"/>
          <w:sz w:val="20"/>
          <w:szCs w:val="20"/>
        </w:rPr>
        <w:t>(</w:t>
      </w:r>
      <w:proofErr w:type="gramStart"/>
      <w:r w:rsidRPr="19E868BE">
        <w:rPr>
          <w:rFonts w:ascii="Consolas" w:eastAsia="Consolas" w:hAnsi="Consolas" w:cs="Consolas"/>
          <w:color w:val="404040"/>
          <w:sz w:val="20"/>
          <w:szCs w:val="20"/>
        </w:rPr>
        <w:t>Dataset[</w:t>
      </w:r>
      <w:proofErr w:type="gramEnd"/>
      <w:r w:rsidRPr="19E868BE">
        <w:rPr>
          <w:rFonts w:ascii="Consolas" w:eastAsia="Consolas" w:hAnsi="Consolas" w:cs="Consolas"/>
          <w:color w:val="404040"/>
          <w:sz w:val="20"/>
          <w:szCs w:val="20"/>
        </w:rPr>
        <w:t xml:space="preserve">Earn </w:t>
      </w:r>
      <w:proofErr w:type="gramStart"/>
      <w:r w:rsidRPr="19E868BE">
        <w:rPr>
          <w:rFonts w:ascii="Consolas" w:eastAsia="Consolas" w:hAnsi="Consolas" w:cs="Consolas"/>
          <w:color w:val="404040"/>
          <w:sz w:val="20"/>
          <w:szCs w:val="20"/>
        </w:rPr>
        <w:t>Code]&lt;</w:t>
      </w:r>
      <w:proofErr w:type="gramEnd"/>
      <w:r w:rsidRPr="19E868BE">
        <w:rPr>
          <w:rFonts w:ascii="Consolas" w:eastAsia="Consolas" w:hAnsi="Consolas" w:cs="Consolas"/>
          <w:color w:val="404040"/>
          <w:sz w:val="20"/>
          <w:szCs w:val="20"/>
        </w:rPr>
        <w:t>&gt;"Per Diem</w:t>
      </w:r>
      <w:proofErr w:type="gramStart"/>
      <w:r w:rsidRPr="19E868BE">
        <w:rPr>
          <w:rFonts w:ascii="Consolas" w:eastAsia="Consolas" w:hAnsi="Consolas" w:cs="Consolas"/>
          <w:color w:val="404040"/>
          <w:sz w:val="20"/>
          <w:szCs w:val="20"/>
        </w:rPr>
        <w:t>")*Dataset[</w:t>
      </w:r>
      <w:proofErr w:type="gramEnd"/>
      <w:r w:rsidRPr="19E868BE">
        <w:rPr>
          <w:rFonts w:ascii="Consolas" w:eastAsia="Consolas" w:hAnsi="Consolas" w:cs="Consolas"/>
          <w:color w:val="404040"/>
          <w:sz w:val="20"/>
          <w:szCs w:val="20"/>
        </w:rPr>
        <w:t>Hours])</w:t>
      </w:r>
    </w:p>
    <w:p w14:paraId="158FBF48" w14:textId="77777777" w:rsidR="001F2191" w:rsidRDefault="00874EE9">
      <w:pPr>
        <w:pStyle w:val="heading30"/>
      </w:pPr>
      <w:r>
        <w:t>Overtime %</w:t>
      </w:r>
    </w:p>
    <w:p w14:paraId="6316FB04" w14:textId="3BFA9B51" w:rsidR="001F2191" w:rsidRDefault="19E868BE">
      <w:pPr>
        <w:spacing w:after="100"/>
      </w:pPr>
      <w:r w:rsidRPr="19E868BE">
        <w:t>Share of labor hours at overtime rates. Cost/margin pressure and workforce sustainability indicator.</w:t>
      </w:r>
    </w:p>
    <w:p w14:paraId="10D5810F" w14:textId="77777777" w:rsidR="001F2191" w:rsidRDefault="00874EE9">
      <w:pPr>
        <w:spacing w:after="100"/>
        <w:ind w:left="360"/>
      </w:pPr>
      <w:r>
        <w:rPr>
          <w:rFonts w:ascii="Consolas" w:eastAsia="Consolas" w:hAnsi="Consolas" w:cs="Consolas"/>
          <w:color w:val="404040"/>
          <w:sz w:val="20"/>
          <w:szCs w:val="20"/>
        </w:rPr>
        <w:t>= OT Hours / Total Labor Hours (excluding Per Diem)</w:t>
      </w:r>
    </w:p>
    <w:p w14:paraId="6A05A809" w14:textId="77777777" w:rsidR="001F2191" w:rsidRDefault="00874EE9">
      <w:r>
        <w:br w:type="page"/>
      </w:r>
    </w:p>
    <w:p w14:paraId="6EFA64CE" w14:textId="77777777" w:rsidR="001F2191" w:rsidRDefault="00874EE9">
      <w:pPr>
        <w:pStyle w:val="heading10"/>
      </w:pPr>
      <w:r>
        <w:lastRenderedPageBreak/>
        <w:t>Metric Scoping Philosophy</w:t>
      </w:r>
    </w:p>
    <w:p w14:paraId="41E033E5" w14:textId="77777777" w:rsidR="001F2191" w:rsidRDefault="19E868BE">
      <w:pPr>
        <w:spacing w:after="100"/>
      </w:pPr>
      <w:r w:rsidRPr="19E868BE">
        <w:t>Different metrics require different data scoping to accurately answer the question they are designed to address. The dashboard applies deliberate scoping decisions based on whether a metric is financial or operational in nature.</w:t>
      </w:r>
    </w:p>
    <w:p w14:paraId="71618833" w14:textId="77777777" w:rsidR="001F2191" w:rsidRDefault="00874EE9">
      <w:pPr>
        <w:pStyle w:val="heading20"/>
      </w:pPr>
      <w:r>
        <w:t>Financial Metrics — All-Inclusive</w:t>
      </w:r>
    </w:p>
    <w:p w14:paraId="59CB585F" w14:textId="77777777" w:rsidR="001F2191" w:rsidRDefault="00874EE9">
      <w:pPr>
        <w:spacing w:after="100"/>
      </w:pPr>
      <w:r>
        <w:t>Total Cost, Total Billings, Gross Margin ($), and Gross Margin (%) include all pay code categories to accurately reflect P&amp;L totals. Per Diem, Travel, and Travel OT represent real dollar transactions that appear in the company's financial reporting.</w:t>
      </w:r>
    </w:p>
    <w:p w14:paraId="3A8369E3" w14:textId="19583C2B" w:rsidR="001F2191" w:rsidRDefault="00874EE9">
      <w:pPr>
        <w:spacing w:after="100"/>
      </w:pPr>
      <w:r>
        <w:t xml:space="preserve">Excluding any pay code from these metrics would create a discrepancy between the dashboard and the company's financial books </w:t>
      </w:r>
      <w:r w:rsidR="002805D2">
        <w:t>-</w:t>
      </w:r>
      <w:r>
        <w:t xml:space="preserve"> the single most important trust-building factor for a financial dashboard is that totals reconcile to source of truth.</w:t>
      </w:r>
    </w:p>
    <w:p w14:paraId="528D5438" w14:textId="77777777" w:rsidR="001F2191" w:rsidRDefault="00874EE9">
      <w:pPr>
        <w:pStyle w:val="heading20"/>
      </w:pPr>
      <w:r>
        <w:t>Operational Metrics — Filtered</w:t>
      </w:r>
    </w:p>
    <w:p w14:paraId="7997132E" w14:textId="77777777" w:rsidR="001F2191" w:rsidRDefault="00874EE9">
      <w:pPr>
        <w:spacing w:after="100"/>
      </w:pPr>
      <w:r>
        <w:t>Total Hours, Effective Bill/Pay Rates, and Overtime % exclude Per Diem to isolate true workforce labor activity and rate calculations.</w:t>
      </w:r>
    </w:p>
    <w:p w14:paraId="6BCB1AE8" w14:textId="77777777" w:rsidR="001F2191" w:rsidRDefault="00874EE9">
      <w:pPr>
        <w:pStyle w:val="heading30"/>
      </w:pPr>
      <w:r>
        <w:t>Rationale by Pay Code</w:t>
      </w:r>
    </w:p>
    <w:p w14:paraId="696DE2BA" w14:textId="160DA9A8" w:rsidR="001F2191" w:rsidRDefault="19E868BE">
      <w:pPr>
        <w:pStyle w:val="ListParagraph"/>
        <w:numPr>
          <w:ilvl w:val="0"/>
          <w:numId w:val="2"/>
        </w:numPr>
        <w:spacing w:after="60"/>
      </w:pPr>
      <w:r w:rsidRPr="19E868BE">
        <w:t xml:space="preserve">Per Diem </w:t>
      </w:r>
      <w:r w:rsidR="002805D2">
        <w:t>-</w:t>
      </w:r>
      <w:r w:rsidRPr="19E868BE">
        <w:t xml:space="preserve"> Flat allowance </w:t>
      </w:r>
      <w:r w:rsidR="50E29DE8" w:rsidRPr="19E868BE">
        <w:t xml:space="preserve">of </w:t>
      </w:r>
      <w:r w:rsidRPr="19E868BE">
        <w:t>1</w:t>
      </w:r>
      <w:r w:rsidR="0CDAD11B" w:rsidRPr="19E868BE">
        <w:t xml:space="preserve"> unit per day worked with rates determined by worksite location</w:t>
      </w:r>
      <w:r w:rsidRPr="19E868BE">
        <w:t xml:space="preserve">. Not actual </w:t>
      </w:r>
      <w:proofErr w:type="gramStart"/>
      <w:r w:rsidRPr="19E868BE">
        <w:t>worked</w:t>
      </w:r>
      <w:proofErr w:type="gramEnd"/>
      <w:r w:rsidRPr="19E868BE">
        <w:t xml:space="preserve"> hours; not an hourly rate.</w:t>
      </w:r>
    </w:p>
    <w:p w14:paraId="74D9EA56" w14:textId="13E3A670" w:rsidR="001F2191" w:rsidRDefault="19E868BE">
      <w:pPr>
        <w:pStyle w:val="ListParagraph"/>
        <w:numPr>
          <w:ilvl w:val="0"/>
          <w:numId w:val="2"/>
        </w:numPr>
        <w:spacing w:after="60"/>
      </w:pPr>
      <w:r w:rsidRPr="19E868BE">
        <w:t xml:space="preserve">Regular, Overtime, Travel, Travel OT </w:t>
      </w:r>
      <w:r w:rsidR="002805D2">
        <w:t>-</w:t>
      </w:r>
      <w:r w:rsidRPr="19E868BE">
        <w:t xml:space="preserve"> All represent actual employee time on the clock at hourly rates. Included in operational metrics.</w:t>
      </w:r>
    </w:p>
    <w:p w14:paraId="5A39BBE3" w14:textId="77777777" w:rsidR="001F2191" w:rsidRDefault="00874EE9">
      <w:r>
        <w:br w:type="page"/>
      </w:r>
    </w:p>
    <w:p w14:paraId="52651ABC" w14:textId="77777777" w:rsidR="001F2191" w:rsidRDefault="00874EE9">
      <w:pPr>
        <w:pStyle w:val="heading10"/>
      </w:pPr>
      <w:r>
        <w:lastRenderedPageBreak/>
        <w:t>Data Quality Adjustments</w:t>
      </w:r>
    </w:p>
    <w:p w14:paraId="3885C74B" w14:textId="77777777" w:rsidR="001F2191" w:rsidRDefault="19E868BE">
      <w:pPr>
        <w:pStyle w:val="heading20"/>
      </w:pPr>
      <w:r w:rsidRPr="19E868BE">
        <w:t>Per Diem Placeholder Hours</w:t>
      </w:r>
    </w:p>
    <w:p w14:paraId="154B056C" w14:textId="5C2108F6" w:rsidR="001F2191" w:rsidRDefault="03D4F2C9" w:rsidP="19E868BE">
      <w:pPr>
        <w:spacing w:after="100"/>
      </w:pPr>
      <w:r w:rsidRPr="19E868BE">
        <w:rPr>
          <w:color w:val="000000"/>
        </w:rPr>
        <w:t>Per Diem automatically administered daily at 1 unit per day worked with no markup and a flat rate determined by physical site location. Since</w:t>
      </w:r>
      <w:r w:rsidRPr="19E868BE">
        <w:t xml:space="preserve"> Per Diem represents a flat daily allowance rather than actual </w:t>
      </w:r>
      <w:proofErr w:type="gramStart"/>
      <w:r w:rsidRPr="19E868BE">
        <w:t>worked</w:t>
      </w:r>
      <w:proofErr w:type="gramEnd"/>
      <w:r w:rsidRPr="19E868BE">
        <w:t xml:space="preserve"> time, these placeholder hours have been excluded from Total Hours and Overtime % calculations to accurately represent workforce labor activity.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2191" w14:paraId="23679978" w14:textId="77777777" w:rsidTr="19E868BE">
        <w:tc>
          <w:tcPr>
            <w:tcW w:w="9360" w:type="dxa"/>
            <w:tcBorders>
              <w:top w:val="single" w:sz="8" w:space="0" w:color="5B3A85"/>
              <w:left w:val="single" w:sz="8" w:space="0" w:color="5B3A85"/>
              <w:bottom w:val="single" w:sz="8" w:space="0" w:color="5B3A85"/>
              <w:right w:val="single" w:sz="8" w:space="0" w:color="5B3A85"/>
            </w:tcBorders>
            <w:shd w:val="clear" w:color="auto" w:fill="E4DEF0"/>
            <w:tcMar>
              <w:top w:w="160" w:type="dxa"/>
              <w:left w:w="200" w:type="dxa"/>
              <w:bottom w:w="160" w:type="dxa"/>
              <w:right w:w="200" w:type="dxa"/>
            </w:tcMar>
          </w:tcPr>
          <w:p w14:paraId="160E3886" w14:textId="456A6353" w:rsidR="001F2191" w:rsidRDefault="19E868BE">
            <w:r w:rsidRPr="19E868BE">
              <w:rPr>
                <w:b/>
                <w:bCs/>
                <w:color w:val="5B3A85"/>
              </w:rPr>
              <w:t>Adjustment: Approximately 100,000 hours excluded, reducing raw Total Hours (~1.18M) to true labor volume (~1.08M). Financial metrics retain Per Diem values for accurate P&amp;L reporting.</w:t>
            </w:r>
          </w:p>
        </w:tc>
      </w:tr>
    </w:tbl>
    <w:p w14:paraId="5AD3E4EB" w14:textId="77777777" w:rsidR="001F2191" w:rsidRDefault="00874EE9">
      <w:pPr>
        <w:pStyle w:val="heading20"/>
      </w:pPr>
      <w:r>
        <w:t>Consistency Application</w:t>
      </w:r>
    </w:p>
    <w:p w14:paraId="7EE5212A" w14:textId="77777777" w:rsidR="001F2191" w:rsidRDefault="00874EE9">
      <w:pPr>
        <w:spacing w:after="100"/>
      </w:pPr>
      <w:r>
        <w:t>The Per Diem exclusion is applied consistently across all operational metrics regardless of dimension (project, craft, portfolio). This ensures that:</w:t>
      </w:r>
    </w:p>
    <w:p w14:paraId="6735CEED" w14:textId="77777777" w:rsidR="001F2191" w:rsidRDefault="00874EE9">
      <w:pPr>
        <w:pStyle w:val="ListParagraph"/>
        <w:numPr>
          <w:ilvl w:val="0"/>
          <w:numId w:val="2"/>
        </w:numPr>
        <w:spacing w:after="60"/>
      </w:pPr>
      <w:r>
        <w:t>Total portfolio hours = Sum of all project hours</w:t>
      </w:r>
    </w:p>
    <w:p w14:paraId="035B4D40" w14:textId="77777777" w:rsidR="001F2191" w:rsidRDefault="00874EE9">
      <w:pPr>
        <w:pStyle w:val="ListParagraph"/>
        <w:numPr>
          <w:ilvl w:val="0"/>
          <w:numId w:val="2"/>
        </w:numPr>
        <w:spacing w:after="60"/>
      </w:pPr>
      <w:r>
        <w:t>Labor rate calculations are comparable across dimensions</w:t>
      </w:r>
    </w:p>
    <w:p w14:paraId="3E07AAA8" w14:textId="31D7822A" w:rsidR="19E868BE" w:rsidRDefault="19E868BE" w:rsidP="19E868BE">
      <w:pPr>
        <w:pStyle w:val="ListParagraph"/>
        <w:numPr>
          <w:ilvl w:val="0"/>
          <w:numId w:val="2"/>
        </w:numPr>
        <w:spacing w:after="60"/>
      </w:pPr>
      <w:r w:rsidRPr="19E868BE">
        <w:t>Overtime concentration percentages are directly comparable</w:t>
      </w:r>
    </w:p>
    <w:p w14:paraId="498F0B84" w14:textId="42AA773B" w:rsidR="3A020883" w:rsidRDefault="3A020883" w:rsidP="19E868BE">
      <w:pPr>
        <w:pStyle w:val="ListParagraph"/>
        <w:numPr>
          <w:ilvl w:val="0"/>
          <w:numId w:val="2"/>
        </w:numPr>
        <w:spacing w:after="60"/>
      </w:pPr>
      <w:r w:rsidRPr="19E868BE">
        <w:t>Rates aren’t inflated from per diem rates (per diem is typically ~$100/day)</w:t>
      </w:r>
    </w:p>
    <w:p w14:paraId="41C8F396" w14:textId="77777777" w:rsidR="001F2191" w:rsidRDefault="00874EE9">
      <w:r>
        <w:br w:type="page"/>
      </w:r>
    </w:p>
    <w:p w14:paraId="4F7B9565" w14:textId="77777777" w:rsidR="001F2191" w:rsidRDefault="00874EE9">
      <w:pPr>
        <w:pStyle w:val="heading10"/>
      </w:pPr>
      <w:r>
        <w:lastRenderedPageBreak/>
        <w:t>Overtime Cost Impact Framework</w:t>
      </w:r>
    </w:p>
    <w:p w14:paraId="4B435A90" w14:textId="7F9385A1" w:rsidR="001F2191" w:rsidRDefault="19E868BE">
      <w:pPr>
        <w:spacing w:after="100"/>
      </w:pPr>
      <w:r w:rsidRPr="19E868BE">
        <w:t xml:space="preserve">The Overtime Cost Impact table </w:t>
      </w:r>
      <w:r w:rsidR="2F3CE53D" w:rsidRPr="19E868BE">
        <w:t>breaks down</w:t>
      </w:r>
      <w:r w:rsidRPr="19E868BE">
        <w:t xml:space="preserve"> OT into distinct financial impacts, providing granular visibility into cost drivers beyond typical labor reporting.</w:t>
      </w:r>
    </w:p>
    <w:p w14:paraId="00E2FFC5" w14:textId="77777777" w:rsidR="001F2191" w:rsidRDefault="00874EE9">
      <w:pPr>
        <w:pStyle w:val="heading30"/>
      </w:pPr>
      <w:r>
        <w:t>Total Overtime Hours</w:t>
      </w:r>
    </w:p>
    <w:p w14:paraId="5D71D645" w14:textId="77777777" w:rsidR="001F2191" w:rsidRDefault="19E868BE">
      <w:pPr>
        <w:spacing w:after="100"/>
        <w:ind w:left="360"/>
      </w:pPr>
      <w:r w:rsidRPr="19E868BE">
        <w:rPr>
          <w:rFonts w:ascii="Consolas" w:eastAsia="Consolas" w:hAnsi="Consolas" w:cs="Consolas"/>
          <w:color w:val="404040"/>
          <w:sz w:val="20"/>
          <w:szCs w:val="20"/>
        </w:rPr>
        <w:t>=SUMIFS(</w:t>
      </w:r>
      <w:proofErr w:type="gramStart"/>
      <w:r w:rsidRPr="19E868BE">
        <w:rPr>
          <w:rFonts w:ascii="Consolas" w:eastAsia="Consolas" w:hAnsi="Consolas" w:cs="Consolas"/>
          <w:color w:val="404040"/>
          <w:sz w:val="20"/>
          <w:szCs w:val="20"/>
        </w:rPr>
        <w:t>Dataset[</w:t>
      </w:r>
      <w:proofErr w:type="gramEnd"/>
      <w:r w:rsidRPr="19E868BE">
        <w:rPr>
          <w:rFonts w:ascii="Consolas" w:eastAsia="Consolas" w:hAnsi="Consolas" w:cs="Consolas"/>
          <w:color w:val="404040"/>
          <w:sz w:val="20"/>
          <w:szCs w:val="20"/>
        </w:rPr>
        <w:t xml:space="preserve">Hours], </w:t>
      </w:r>
      <w:proofErr w:type="gramStart"/>
      <w:r w:rsidRPr="19E868BE">
        <w:rPr>
          <w:rFonts w:ascii="Consolas" w:eastAsia="Consolas" w:hAnsi="Consolas" w:cs="Consolas"/>
          <w:color w:val="404040"/>
          <w:sz w:val="20"/>
          <w:szCs w:val="20"/>
        </w:rPr>
        <w:t>Dataset[</w:t>
      </w:r>
      <w:proofErr w:type="gramEnd"/>
      <w:r w:rsidRPr="19E868BE">
        <w:rPr>
          <w:rFonts w:ascii="Consolas" w:eastAsia="Consolas" w:hAnsi="Consolas" w:cs="Consolas"/>
          <w:color w:val="404040"/>
          <w:sz w:val="20"/>
          <w:szCs w:val="20"/>
        </w:rPr>
        <w:t>Project Name]</w:t>
      </w:r>
      <w:proofErr w:type="gramStart"/>
      <w:r w:rsidRPr="19E868BE">
        <w:rPr>
          <w:rFonts w:ascii="Consolas" w:eastAsia="Consolas" w:hAnsi="Consolas" w:cs="Consolas"/>
          <w:color w:val="404040"/>
          <w:sz w:val="20"/>
          <w:szCs w:val="20"/>
        </w:rPr>
        <w:t>, [@</w:t>
      </w:r>
      <w:proofErr w:type="gramEnd"/>
      <w:r w:rsidRPr="19E868BE">
        <w:rPr>
          <w:rFonts w:ascii="Consolas" w:eastAsia="Consolas" w:hAnsi="Consolas" w:cs="Consolas"/>
          <w:color w:val="404040"/>
          <w:sz w:val="20"/>
          <w:szCs w:val="20"/>
        </w:rPr>
        <w:t xml:space="preserve">Project], </w:t>
      </w:r>
      <w:proofErr w:type="gramStart"/>
      <w:r w:rsidRPr="19E868BE">
        <w:rPr>
          <w:rFonts w:ascii="Consolas" w:eastAsia="Consolas" w:hAnsi="Consolas" w:cs="Consolas"/>
          <w:color w:val="404040"/>
          <w:sz w:val="20"/>
          <w:szCs w:val="20"/>
        </w:rPr>
        <w:t>Dataset[</w:t>
      </w:r>
      <w:proofErr w:type="gramEnd"/>
      <w:r w:rsidRPr="19E868BE">
        <w:rPr>
          <w:rFonts w:ascii="Consolas" w:eastAsia="Consolas" w:hAnsi="Consolas" w:cs="Consolas"/>
          <w:color w:val="404040"/>
          <w:sz w:val="20"/>
          <w:szCs w:val="20"/>
        </w:rPr>
        <w:t>Earn Code], "Overtime")</w:t>
      </w:r>
    </w:p>
    <w:p w14:paraId="5BFA7B10" w14:textId="77777777" w:rsidR="001F2191" w:rsidRDefault="00874EE9">
      <w:pPr>
        <w:pStyle w:val="heading30"/>
      </w:pPr>
      <w:r>
        <w:t>Overtime Premium</w:t>
      </w:r>
    </w:p>
    <w:p w14:paraId="74F8136E" w14:textId="77777777" w:rsidR="001F2191" w:rsidRDefault="19E868BE">
      <w:pPr>
        <w:spacing w:after="100"/>
      </w:pPr>
      <w:r w:rsidRPr="19E868BE">
        <w:t>Incremental labor cost from paying overtime rates rather than regular rates. Isolates 'excess' cost specifically attributable to OT versus straight-time work.</w:t>
      </w:r>
    </w:p>
    <w:p w14:paraId="0F192610" w14:textId="77777777" w:rsidR="001F2191" w:rsidRDefault="00874EE9">
      <w:pPr>
        <w:spacing w:after="100"/>
        <w:ind w:left="360"/>
      </w:pPr>
      <w:r>
        <w:rPr>
          <w:rFonts w:ascii="Consolas" w:eastAsia="Consolas" w:hAnsi="Consolas" w:cs="Consolas"/>
          <w:color w:val="404040"/>
          <w:sz w:val="20"/>
          <w:szCs w:val="20"/>
        </w:rPr>
        <w:t>= OT Hours × (Effective OT Rate - Effective Regular Rate)</w:t>
      </w:r>
    </w:p>
    <w:p w14:paraId="7A2027AC" w14:textId="32E25275" w:rsidR="001F2191" w:rsidRDefault="19E868BE" w:rsidP="19E868BE">
      <w:pPr>
        <w:spacing w:after="100"/>
      </w:pPr>
      <w:r w:rsidRPr="19E868BE">
        <w:t>Represents theoretical savings opportunity if OT hours could be redistributed to regular time. Useful for workforce planning conversations.</w:t>
      </w:r>
      <w:r w:rsidR="3BE48960" w:rsidRPr="19E868BE">
        <w:t xml:space="preserve"> </w:t>
      </w:r>
    </w:p>
    <w:p w14:paraId="65D520BC" w14:textId="77777777" w:rsidR="001F2191" w:rsidRDefault="00874EE9">
      <w:pPr>
        <w:pStyle w:val="heading30"/>
      </w:pPr>
      <w:r>
        <w:t>Overtime Cost</w:t>
      </w:r>
    </w:p>
    <w:p w14:paraId="005C58B2" w14:textId="77777777" w:rsidR="001F2191" w:rsidRDefault="00874EE9">
      <w:pPr>
        <w:spacing w:after="100"/>
        <w:ind w:left="360"/>
      </w:pPr>
      <w:r>
        <w:rPr>
          <w:rFonts w:ascii="Consolas" w:eastAsia="Consolas" w:hAnsi="Consolas" w:cs="Consolas"/>
          <w:color w:val="404040"/>
          <w:sz w:val="20"/>
          <w:szCs w:val="20"/>
        </w:rPr>
        <w:t>= OT Hours × Effective OT Pay Rate</w:t>
      </w:r>
    </w:p>
    <w:p w14:paraId="52E25E02" w14:textId="77777777" w:rsidR="001F2191" w:rsidRDefault="00874EE9">
      <w:pPr>
        <w:pStyle w:val="heading30"/>
      </w:pPr>
      <w:r>
        <w:t>OT Markup Sacrifice</w:t>
      </w:r>
    </w:p>
    <w:p w14:paraId="1B890744" w14:textId="36F6A61F" w:rsidR="001F2191" w:rsidRDefault="19E868BE">
      <w:pPr>
        <w:spacing w:after="100"/>
      </w:pPr>
      <w:r w:rsidRPr="19E868BE">
        <w:t xml:space="preserve">Margin dollars </w:t>
      </w:r>
      <w:proofErr w:type="gramStart"/>
      <w:r w:rsidRPr="19E868BE">
        <w:t>foregone</w:t>
      </w:r>
      <w:proofErr w:type="gramEnd"/>
      <w:r w:rsidRPr="19E868BE">
        <w:t xml:space="preserve"> by applying reduced overtime markup (1.41x) versus standard regular hour markup (1.43x). Quantifies the specific margin trade-off from OT pricing structure</w:t>
      </w:r>
      <w:r w:rsidR="2A043985" w:rsidRPr="19E868BE">
        <w:t xml:space="preserve"> negotiated for this portfolio.</w:t>
      </w:r>
    </w:p>
    <w:p w14:paraId="7EDAE9F8" w14:textId="77777777" w:rsidR="001F2191" w:rsidRDefault="00874EE9">
      <w:pPr>
        <w:spacing w:after="100"/>
        <w:ind w:left="360"/>
      </w:pPr>
      <w:r>
        <w:rPr>
          <w:rFonts w:ascii="Consolas" w:eastAsia="Consolas" w:hAnsi="Consolas" w:cs="Consolas"/>
          <w:color w:val="404040"/>
          <w:sz w:val="20"/>
          <w:szCs w:val="20"/>
        </w:rPr>
        <w:t>= OT Cost × 0.025 (markup differential: 1.43 - 1.41)</w:t>
      </w:r>
    </w:p>
    <w:p w14:paraId="534A3A98" w14:textId="77777777" w:rsidR="001F2191" w:rsidRDefault="00874EE9">
      <w:pPr>
        <w:pStyle w:val="heading30"/>
      </w:pPr>
      <w:r>
        <w:t>OT % of Labor Cost</w:t>
      </w:r>
    </w:p>
    <w:p w14:paraId="0AEC88D9" w14:textId="77777777" w:rsidR="001F2191" w:rsidRDefault="19E868BE">
      <w:pPr>
        <w:spacing w:after="100"/>
      </w:pPr>
      <w:r w:rsidRPr="19E868BE">
        <w:t>Share of total labor spend allocated to overtime. Higher than % of hours because OT hours cost more per hour.</w:t>
      </w:r>
    </w:p>
    <w:p w14:paraId="7A029ADB" w14:textId="77777777" w:rsidR="001F2191" w:rsidRDefault="00874EE9">
      <w:pPr>
        <w:spacing w:after="100"/>
        <w:ind w:left="360"/>
      </w:pPr>
      <w:r>
        <w:rPr>
          <w:rFonts w:ascii="Consolas" w:eastAsia="Consolas" w:hAnsi="Consolas" w:cs="Consolas"/>
          <w:color w:val="404040"/>
          <w:sz w:val="20"/>
          <w:szCs w:val="20"/>
        </w:rPr>
        <w:t>= OT Cost / Total Labor Cost</w:t>
      </w:r>
    </w:p>
    <w:p w14:paraId="72A3D3EC" w14:textId="77777777" w:rsidR="001F2191" w:rsidRDefault="00874EE9">
      <w:r>
        <w:br w:type="page"/>
      </w:r>
    </w:p>
    <w:p w14:paraId="1DCD5FEA" w14:textId="77777777" w:rsidR="001F2191" w:rsidRDefault="00874EE9">
      <w:pPr>
        <w:pStyle w:val="heading10"/>
      </w:pPr>
      <w:r>
        <w:lastRenderedPageBreak/>
        <w:t>Benchmark Calibration</w:t>
      </w:r>
    </w:p>
    <w:p w14:paraId="34B88909" w14:textId="77777777" w:rsidR="001F2191" w:rsidRDefault="19E868BE">
      <w:pPr>
        <w:spacing w:after="100"/>
      </w:pPr>
      <w:r w:rsidRPr="19E868BE">
        <w:t>Color-coded conditional formatting is applied to margin and utilization metrics based on portfolio-calibrated benchmarks rather than generic industry averages.</w:t>
      </w:r>
    </w:p>
    <w:p w14:paraId="7F036353" w14:textId="77777777" w:rsidR="001F2191" w:rsidRDefault="00874EE9">
      <w:pPr>
        <w:pStyle w:val="heading20"/>
      </w:pPr>
      <w:r>
        <w:t>Portfolio Target Pricing Structure</w:t>
      </w:r>
    </w:p>
    <w:p w14:paraId="3BC5B894" w14:textId="77777777" w:rsidR="001F2191" w:rsidRDefault="00874EE9">
      <w:pPr>
        <w:pStyle w:val="ListParagraph"/>
        <w:numPr>
          <w:ilvl w:val="0"/>
          <w:numId w:val="2"/>
        </w:numPr>
        <w:spacing w:after="60"/>
      </w:pPr>
      <w:r>
        <w:t>Regular hours markup: 1.43x</w:t>
      </w:r>
    </w:p>
    <w:p w14:paraId="3F152778" w14:textId="77777777" w:rsidR="001F2191" w:rsidRDefault="00874EE9">
      <w:pPr>
        <w:pStyle w:val="ListParagraph"/>
        <w:numPr>
          <w:ilvl w:val="0"/>
          <w:numId w:val="2"/>
        </w:numPr>
        <w:spacing w:after="60"/>
      </w:pPr>
      <w:r>
        <w:t>Overtime hours markup: 1.41x</w:t>
      </w:r>
    </w:p>
    <w:p w14:paraId="39576FB0" w14:textId="77777777" w:rsidR="001F2191" w:rsidRDefault="00874EE9">
      <w:pPr>
        <w:pStyle w:val="ListParagraph"/>
        <w:numPr>
          <w:ilvl w:val="0"/>
          <w:numId w:val="2"/>
        </w:numPr>
        <w:spacing w:after="60"/>
      </w:pPr>
      <w:r>
        <w:t>Blended expected margin: approximately 30%</w:t>
      </w:r>
    </w:p>
    <w:p w14:paraId="0D97A339" w14:textId="77777777" w:rsidR="001F2191" w:rsidRDefault="00874EE9">
      <w:pPr>
        <w:pStyle w:val="ListParagraph"/>
        <w:numPr>
          <w:ilvl w:val="0"/>
          <w:numId w:val="2"/>
        </w:numPr>
        <w:spacing w:after="60"/>
      </w:pPr>
      <w:r>
        <w:t>Actual blended margin: 22-24% (reflects strategic client pricing accommodation)</w:t>
      </w:r>
    </w:p>
    <w:p w14:paraId="0C05B340" w14:textId="77777777" w:rsidR="001F2191" w:rsidRDefault="00874EE9">
      <w:pPr>
        <w:pStyle w:val="heading20"/>
      </w:pPr>
      <w:r>
        <w:t>Portfolio Margin % (Executive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F2191" w14:paraId="56F51DA9" w14:textId="77777777" w:rsidTr="19E868BE">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5B3A85"/>
            <w:tcMar>
              <w:top w:w="100" w:type="dxa"/>
              <w:left w:w="120" w:type="dxa"/>
              <w:bottom w:w="100" w:type="dxa"/>
              <w:right w:w="120" w:type="dxa"/>
            </w:tcMar>
          </w:tcPr>
          <w:p w14:paraId="340577B6" w14:textId="77777777" w:rsidR="001F2191" w:rsidRDefault="00874EE9">
            <w:r>
              <w:rPr>
                <w:b/>
                <w:bCs/>
                <w:color w:val="FFFFFF"/>
              </w:rPr>
              <w:t>Range</w:t>
            </w:r>
          </w:p>
        </w:tc>
        <w:tc>
          <w:tcPr>
            <w:tcW w:w="3120" w:type="dxa"/>
            <w:tcBorders>
              <w:top w:val="single" w:sz="4" w:space="0" w:color="BFBFBF"/>
              <w:left w:val="single" w:sz="4" w:space="0" w:color="BFBFBF"/>
              <w:bottom w:val="single" w:sz="4" w:space="0" w:color="BFBFBF"/>
              <w:right w:val="single" w:sz="4" w:space="0" w:color="BFBFBF"/>
            </w:tcBorders>
            <w:shd w:val="clear" w:color="auto" w:fill="5B3A85"/>
            <w:tcMar>
              <w:top w:w="100" w:type="dxa"/>
              <w:left w:w="120" w:type="dxa"/>
              <w:bottom w:w="100" w:type="dxa"/>
              <w:right w:w="120" w:type="dxa"/>
            </w:tcMar>
          </w:tcPr>
          <w:p w14:paraId="1B9FBFDD" w14:textId="77777777" w:rsidR="001F2191" w:rsidRDefault="00874EE9">
            <w:r>
              <w:rPr>
                <w:b/>
                <w:bCs/>
                <w:color w:val="FFFFFF"/>
              </w:rPr>
              <w:t>Status</w:t>
            </w:r>
          </w:p>
        </w:tc>
        <w:tc>
          <w:tcPr>
            <w:tcW w:w="3120" w:type="dxa"/>
            <w:tcBorders>
              <w:top w:val="single" w:sz="4" w:space="0" w:color="BFBFBF"/>
              <w:left w:val="single" w:sz="4" w:space="0" w:color="BFBFBF"/>
              <w:bottom w:val="single" w:sz="4" w:space="0" w:color="BFBFBF"/>
              <w:right w:val="single" w:sz="4" w:space="0" w:color="BFBFBF"/>
            </w:tcBorders>
            <w:shd w:val="clear" w:color="auto" w:fill="5B3A85"/>
            <w:tcMar>
              <w:top w:w="100" w:type="dxa"/>
              <w:left w:w="120" w:type="dxa"/>
              <w:bottom w:w="100" w:type="dxa"/>
              <w:right w:w="120" w:type="dxa"/>
            </w:tcMar>
          </w:tcPr>
          <w:p w14:paraId="41FB9573" w14:textId="77777777" w:rsidR="001F2191" w:rsidRDefault="00874EE9">
            <w:r>
              <w:rPr>
                <w:b/>
                <w:bCs/>
                <w:color w:val="FFFFFF"/>
              </w:rPr>
              <w:t>Color</w:t>
            </w:r>
          </w:p>
        </w:tc>
      </w:tr>
      <w:tr w:rsidR="001F2191" w14:paraId="07640F85" w14:textId="77777777" w:rsidTr="19E868BE">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DB277E" w14:textId="77777777" w:rsidR="001F2191" w:rsidRDefault="00874EE9">
            <w:r>
              <w:rPr>
                <w:b/>
                <w:bCs/>
              </w:rPr>
              <w:t>≥ 30%</w:t>
            </w:r>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13353" w14:textId="77777777" w:rsidR="001F2191" w:rsidRDefault="19E868BE">
            <w:proofErr w:type="gramStart"/>
            <w:r w:rsidRPr="19E868BE">
              <w:t>On-target</w:t>
            </w:r>
            <w:proofErr w:type="gramEnd"/>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170216" w14:textId="77777777" w:rsidR="001F2191" w:rsidRDefault="00874EE9">
            <w:r>
              <w:t>Green</w:t>
            </w:r>
          </w:p>
        </w:tc>
      </w:tr>
      <w:tr w:rsidR="001F2191" w14:paraId="7E4DEF38" w14:textId="77777777" w:rsidTr="19E868BE">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137CD2" w14:textId="77777777" w:rsidR="001F2191" w:rsidRDefault="00874EE9">
            <w:r>
              <w:rPr>
                <w:b/>
                <w:bCs/>
              </w:rPr>
              <w:t>26% - 30%</w:t>
            </w:r>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CC1C98" w14:textId="77777777" w:rsidR="001F2191" w:rsidRDefault="00874EE9">
            <w:r>
              <w:t>Mild compression</w:t>
            </w:r>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BC3270" w14:textId="77777777" w:rsidR="001F2191" w:rsidRDefault="00874EE9">
            <w:r>
              <w:t>Yellow</w:t>
            </w:r>
          </w:p>
        </w:tc>
      </w:tr>
      <w:tr w:rsidR="001F2191" w14:paraId="54E9868B" w14:textId="77777777" w:rsidTr="19E868BE">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9C423C" w14:textId="77777777" w:rsidR="001F2191" w:rsidRDefault="00874EE9">
            <w:r>
              <w:rPr>
                <w:b/>
                <w:bCs/>
              </w:rPr>
              <w:t>&lt; 26%</w:t>
            </w:r>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BBC77B" w14:textId="77777777" w:rsidR="001F2191" w:rsidRDefault="00874EE9">
            <w:r>
              <w:t>Below expected</w:t>
            </w:r>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5B61C4" w14:textId="77777777" w:rsidR="001F2191" w:rsidRDefault="00874EE9">
            <w:r>
              <w:t>Red</w:t>
            </w:r>
          </w:p>
        </w:tc>
      </w:tr>
    </w:tbl>
    <w:p w14:paraId="0044C110" w14:textId="35A8F18E" w:rsidR="001F2191" w:rsidRDefault="19E868BE">
      <w:pPr>
        <w:pStyle w:val="heading20"/>
      </w:pPr>
      <w:r w:rsidRPr="19E868BE">
        <w:t>Margin %</w:t>
      </w:r>
      <w:r w:rsidR="0A3E38E7" w:rsidRPr="19E868BE">
        <w:t xml:space="preserve"> by Job Title</w:t>
      </w:r>
    </w:p>
    <w:p w14:paraId="45F8E8FC" w14:textId="77777777" w:rsidR="001F2191" w:rsidRDefault="19E868BE">
      <w:pPr>
        <w:spacing w:after="100"/>
      </w:pPr>
      <w:r w:rsidRPr="19E868BE">
        <w:t>Uses portfolio-relative thresholds to highlight within-portfolio performance variation. Generic industry benchmarks would flag all crafts as underperforming.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F2191" w14:paraId="553E554F" w14:textId="77777777">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5B3A85"/>
            <w:tcMar>
              <w:top w:w="100" w:type="dxa"/>
              <w:left w:w="120" w:type="dxa"/>
              <w:bottom w:w="100" w:type="dxa"/>
              <w:right w:w="120" w:type="dxa"/>
            </w:tcMar>
          </w:tcPr>
          <w:p w14:paraId="6E96D10E" w14:textId="77777777" w:rsidR="001F2191" w:rsidRDefault="00874EE9">
            <w:r>
              <w:rPr>
                <w:b/>
                <w:bCs/>
                <w:color w:val="FFFFFF"/>
              </w:rPr>
              <w:t>Range</w:t>
            </w:r>
          </w:p>
        </w:tc>
        <w:tc>
          <w:tcPr>
            <w:tcW w:w="3120" w:type="dxa"/>
            <w:tcBorders>
              <w:top w:val="single" w:sz="4" w:space="0" w:color="BFBFBF"/>
              <w:left w:val="single" w:sz="4" w:space="0" w:color="BFBFBF"/>
              <w:bottom w:val="single" w:sz="4" w:space="0" w:color="BFBFBF"/>
              <w:right w:val="single" w:sz="4" w:space="0" w:color="BFBFBF"/>
            </w:tcBorders>
            <w:shd w:val="clear" w:color="auto" w:fill="5B3A85"/>
            <w:tcMar>
              <w:top w:w="100" w:type="dxa"/>
              <w:left w:w="120" w:type="dxa"/>
              <w:bottom w:w="100" w:type="dxa"/>
              <w:right w:w="120" w:type="dxa"/>
            </w:tcMar>
          </w:tcPr>
          <w:p w14:paraId="72F77DC3" w14:textId="77777777" w:rsidR="001F2191" w:rsidRDefault="00874EE9">
            <w:r>
              <w:rPr>
                <w:b/>
                <w:bCs/>
                <w:color w:val="FFFFFF"/>
              </w:rPr>
              <w:t>Status</w:t>
            </w:r>
          </w:p>
        </w:tc>
        <w:tc>
          <w:tcPr>
            <w:tcW w:w="3120" w:type="dxa"/>
            <w:tcBorders>
              <w:top w:val="single" w:sz="4" w:space="0" w:color="BFBFBF"/>
              <w:left w:val="single" w:sz="4" w:space="0" w:color="BFBFBF"/>
              <w:bottom w:val="single" w:sz="4" w:space="0" w:color="BFBFBF"/>
              <w:right w:val="single" w:sz="4" w:space="0" w:color="BFBFBF"/>
            </w:tcBorders>
            <w:shd w:val="clear" w:color="auto" w:fill="5B3A85"/>
            <w:tcMar>
              <w:top w:w="100" w:type="dxa"/>
              <w:left w:w="120" w:type="dxa"/>
              <w:bottom w:w="100" w:type="dxa"/>
              <w:right w:w="120" w:type="dxa"/>
            </w:tcMar>
          </w:tcPr>
          <w:p w14:paraId="4DA9A333" w14:textId="77777777" w:rsidR="001F2191" w:rsidRDefault="00874EE9">
            <w:r>
              <w:rPr>
                <w:b/>
                <w:bCs/>
                <w:color w:val="FFFFFF"/>
              </w:rPr>
              <w:t>Color</w:t>
            </w:r>
          </w:p>
        </w:tc>
      </w:tr>
      <w:tr w:rsidR="001F2191" w14:paraId="6F9F0FC3" w14:textId="77777777">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0DD5B0" w14:textId="77777777" w:rsidR="001F2191" w:rsidRDefault="00874EE9">
            <w:r>
              <w:rPr>
                <w:b/>
                <w:bCs/>
              </w:rPr>
              <w:t>≥ 25%</w:t>
            </w:r>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E945AD" w14:textId="77777777" w:rsidR="001F2191" w:rsidRDefault="00874EE9">
            <w:r>
              <w:t>Above portfolio average</w:t>
            </w:r>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E11960" w14:textId="77777777" w:rsidR="001F2191" w:rsidRDefault="00874EE9">
            <w:r>
              <w:t>Green</w:t>
            </w:r>
          </w:p>
        </w:tc>
      </w:tr>
      <w:tr w:rsidR="001F2191" w14:paraId="733BEF62" w14:textId="77777777">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6A4E20" w14:textId="77777777" w:rsidR="001F2191" w:rsidRDefault="00874EE9">
            <w:r>
              <w:rPr>
                <w:b/>
                <w:bCs/>
              </w:rPr>
              <w:t>21% - 25%</w:t>
            </w:r>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6F8EDB" w14:textId="77777777" w:rsidR="001F2191" w:rsidRDefault="00874EE9">
            <w:r>
              <w:t>Portfolio-typical</w:t>
            </w:r>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6EB909" w14:textId="77777777" w:rsidR="001F2191" w:rsidRDefault="00874EE9">
            <w:r>
              <w:t>Yellow</w:t>
            </w:r>
          </w:p>
        </w:tc>
      </w:tr>
      <w:tr w:rsidR="001F2191" w14:paraId="1DD915B0" w14:textId="77777777">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A3B5C8" w14:textId="77777777" w:rsidR="001F2191" w:rsidRDefault="00874EE9">
            <w:r>
              <w:rPr>
                <w:b/>
                <w:bCs/>
              </w:rPr>
              <w:t>&lt; 21%</w:t>
            </w:r>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5CF721" w14:textId="77777777" w:rsidR="001F2191" w:rsidRDefault="00874EE9">
            <w:r>
              <w:t>Below portfolio average</w:t>
            </w:r>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39DF31" w14:textId="77777777" w:rsidR="001F2191" w:rsidRDefault="00874EE9">
            <w:r>
              <w:t>Red</w:t>
            </w:r>
          </w:p>
        </w:tc>
      </w:tr>
    </w:tbl>
    <w:p w14:paraId="2561D33D" w14:textId="77777777" w:rsidR="001F2191" w:rsidRDefault="00874EE9">
      <w:pPr>
        <w:pStyle w:val="heading20"/>
      </w:pPr>
      <w:r>
        <w:t>Overtime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F2191" w14:paraId="1B2E9F4C" w14:textId="77777777">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5B3A85"/>
            <w:tcMar>
              <w:top w:w="100" w:type="dxa"/>
              <w:left w:w="120" w:type="dxa"/>
              <w:bottom w:w="100" w:type="dxa"/>
              <w:right w:w="120" w:type="dxa"/>
            </w:tcMar>
          </w:tcPr>
          <w:p w14:paraId="5A8FC681" w14:textId="77777777" w:rsidR="001F2191" w:rsidRDefault="00874EE9">
            <w:r>
              <w:rPr>
                <w:b/>
                <w:bCs/>
                <w:color w:val="FFFFFF"/>
              </w:rPr>
              <w:t>Range</w:t>
            </w:r>
          </w:p>
        </w:tc>
        <w:tc>
          <w:tcPr>
            <w:tcW w:w="3120" w:type="dxa"/>
            <w:tcBorders>
              <w:top w:val="single" w:sz="4" w:space="0" w:color="BFBFBF"/>
              <w:left w:val="single" w:sz="4" w:space="0" w:color="BFBFBF"/>
              <w:bottom w:val="single" w:sz="4" w:space="0" w:color="BFBFBF"/>
              <w:right w:val="single" w:sz="4" w:space="0" w:color="BFBFBF"/>
            </w:tcBorders>
            <w:shd w:val="clear" w:color="auto" w:fill="5B3A85"/>
            <w:tcMar>
              <w:top w:w="100" w:type="dxa"/>
              <w:left w:w="120" w:type="dxa"/>
              <w:bottom w:w="100" w:type="dxa"/>
              <w:right w:w="120" w:type="dxa"/>
            </w:tcMar>
          </w:tcPr>
          <w:p w14:paraId="7D56C4AE" w14:textId="77777777" w:rsidR="001F2191" w:rsidRDefault="00874EE9">
            <w:r>
              <w:rPr>
                <w:b/>
                <w:bCs/>
                <w:color w:val="FFFFFF"/>
              </w:rPr>
              <w:t>Status</w:t>
            </w:r>
          </w:p>
        </w:tc>
        <w:tc>
          <w:tcPr>
            <w:tcW w:w="3120" w:type="dxa"/>
            <w:tcBorders>
              <w:top w:val="single" w:sz="4" w:space="0" w:color="BFBFBF"/>
              <w:left w:val="single" w:sz="4" w:space="0" w:color="BFBFBF"/>
              <w:bottom w:val="single" w:sz="4" w:space="0" w:color="BFBFBF"/>
              <w:right w:val="single" w:sz="4" w:space="0" w:color="BFBFBF"/>
            </w:tcBorders>
            <w:shd w:val="clear" w:color="auto" w:fill="5B3A85"/>
            <w:tcMar>
              <w:top w:w="100" w:type="dxa"/>
              <w:left w:w="120" w:type="dxa"/>
              <w:bottom w:w="100" w:type="dxa"/>
              <w:right w:w="120" w:type="dxa"/>
            </w:tcMar>
          </w:tcPr>
          <w:p w14:paraId="6F674B7C" w14:textId="77777777" w:rsidR="001F2191" w:rsidRDefault="00874EE9">
            <w:r>
              <w:rPr>
                <w:b/>
                <w:bCs/>
                <w:color w:val="FFFFFF"/>
              </w:rPr>
              <w:t>Color</w:t>
            </w:r>
          </w:p>
        </w:tc>
      </w:tr>
      <w:tr w:rsidR="001F2191" w14:paraId="38F9EF2B" w14:textId="77777777">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DAD272" w14:textId="77777777" w:rsidR="001F2191" w:rsidRDefault="00874EE9">
            <w:r>
              <w:rPr>
                <w:b/>
                <w:bCs/>
              </w:rPr>
              <w:t>&lt; 10%</w:t>
            </w:r>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14C2E4" w14:textId="77777777" w:rsidR="001F2191" w:rsidRDefault="00874EE9">
            <w:r>
              <w:t>Healthy concentration</w:t>
            </w:r>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537174" w14:textId="77777777" w:rsidR="001F2191" w:rsidRDefault="00874EE9">
            <w:r>
              <w:t>Green</w:t>
            </w:r>
          </w:p>
        </w:tc>
      </w:tr>
      <w:tr w:rsidR="001F2191" w14:paraId="1DEC5CDC" w14:textId="77777777">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C6D645" w14:textId="77777777" w:rsidR="001F2191" w:rsidRDefault="00874EE9">
            <w:r>
              <w:rPr>
                <w:b/>
                <w:bCs/>
              </w:rPr>
              <w:t>10% - 15%</w:t>
            </w:r>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784C05" w14:textId="77777777" w:rsidR="001F2191" w:rsidRDefault="00874EE9">
            <w:r>
              <w:t>Elevated - monitor</w:t>
            </w:r>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1948CC" w14:textId="77777777" w:rsidR="001F2191" w:rsidRDefault="00874EE9">
            <w:r>
              <w:t>Yellow</w:t>
            </w:r>
          </w:p>
        </w:tc>
      </w:tr>
      <w:tr w:rsidR="001F2191" w14:paraId="718CC10E" w14:textId="77777777">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B70A26" w14:textId="77777777" w:rsidR="001F2191" w:rsidRDefault="00874EE9">
            <w:r>
              <w:rPr>
                <w:b/>
                <w:bCs/>
              </w:rPr>
              <w:t>&gt; 15%</w:t>
            </w:r>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47476F" w14:textId="77777777" w:rsidR="001F2191" w:rsidRDefault="00874EE9">
            <w:r>
              <w:t>Concerning - investigate</w:t>
            </w:r>
          </w:p>
        </w:tc>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A98582" w14:textId="77777777" w:rsidR="001F2191" w:rsidRDefault="00874EE9">
            <w:r>
              <w:t>Red</w:t>
            </w:r>
          </w:p>
        </w:tc>
      </w:tr>
    </w:tbl>
    <w:p w14:paraId="6C143517" w14:textId="77777777" w:rsidR="001F2191" w:rsidRDefault="00874EE9">
      <w:pPr>
        <w:spacing w:after="100"/>
      </w:pPr>
      <w:r>
        <w:t>Note: California labor law creates elevated overtime concentration on West Coast projects — daily OT after 8 hours, weekly OT after 40, plus double-time after 12 hours. Elevated concentration reflects statutory requirements rather than workforce management issues.</w:t>
      </w:r>
    </w:p>
    <w:p w14:paraId="0D0B940D" w14:textId="77777777" w:rsidR="001F2191" w:rsidRDefault="00874EE9">
      <w:r>
        <w:br w:type="page"/>
      </w:r>
    </w:p>
    <w:p w14:paraId="5D1BE3F3" w14:textId="77777777" w:rsidR="001F2191" w:rsidRDefault="00874EE9">
      <w:pPr>
        <w:pStyle w:val="heading10"/>
      </w:pPr>
      <w:r>
        <w:lastRenderedPageBreak/>
        <w:t>Portfolio Total Calculation Methodology</w:t>
      </w:r>
    </w:p>
    <w:p w14:paraId="3E892A13" w14:textId="77777777" w:rsidR="001F2191" w:rsidRDefault="00874EE9">
      <w:pPr>
        <w:spacing w:after="100"/>
      </w:pPr>
      <w:r>
        <w:t>Portfolio total rows recalculate percentages and rates from underlying portfolio-wide totals rather than aggregating individual project values. This weighted approach reflects true portfolio performance.</w:t>
      </w:r>
    </w:p>
    <w:p w14:paraId="7390DD3F" w14:textId="77777777" w:rsidR="001F2191" w:rsidRDefault="00874EE9">
      <w:pPr>
        <w:pStyle w:val="heading20"/>
      </w:pPr>
      <w:r>
        <w:t>Aggregation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F2191" w14:paraId="60A4FB8E" w14:textId="77777777" w:rsidTr="19E868BE">
        <w:trPr>
          <w:tblHeader/>
        </w:trPr>
        <w:tc>
          <w:tcPr>
            <w:tcW w:w="4680" w:type="dxa"/>
            <w:tcBorders>
              <w:top w:val="single" w:sz="4" w:space="0" w:color="BFBFBF"/>
              <w:left w:val="single" w:sz="4" w:space="0" w:color="BFBFBF"/>
              <w:bottom w:val="single" w:sz="4" w:space="0" w:color="BFBFBF"/>
              <w:right w:val="single" w:sz="4" w:space="0" w:color="BFBFBF"/>
            </w:tcBorders>
            <w:shd w:val="clear" w:color="auto" w:fill="5B3A85"/>
            <w:tcMar>
              <w:top w:w="100" w:type="dxa"/>
              <w:left w:w="120" w:type="dxa"/>
              <w:bottom w:w="100" w:type="dxa"/>
              <w:right w:w="120" w:type="dxa"/>
            </w:tcMar>
          </w:tcPr>
          <w:p w14:paraId="09488FB6" w14:textId="77777777" w:rsidR="001F2191" w:rsidRDefault="00874EE9">
            <w:r>
              <w:rPr>
                <w:b/>
                <w:bCs/>
                <w:color w:val="FFFFFF"/>
              </w:rPr>
              <w:t>Metric Type</w:t>
            </w:r>
          </w:p>
        </w:tc>
        <w:tc>
          <w:tcPr>
            <w:tcW w:w="4680" w:type="dxa"/>
            <w:tcBorders>
              <w:top w:val="single" w:sz="4" w:space="0" w:color="BFBFBF"/>
              <w:left w:val="single" w:sz="4" w:space="0" w:color="BFBFBF"/>
              <w:bottom w:val="single" w:sz="4" w:space="0" w:color="BFBFBF"/>
              <w:right w:val="single" w:sz="4" w:space="0" w:color="BFBFBF"/>
            </w:tcBorders>
            <w:shd w:val="clear" w:color="auto" w:fill="5B3A85"/>
            <w:tcMar>
              <w:top w:w="100" w:type="dxa"/>
              <w:left w:w="120" w:type="dxa"/>
              <w:bottom w:w="100" w:type="dxa"/>
              <w:right w:w="120" w:type="dxa"/>
            </w:tcMar>
          </w:tcPr>
          <w:p w14:paraId="354A18FB" w14:textId="77777777" w:rsidR="001F2191" w:rsidRDefault="00874EE9">
            <w:r>
              <w:rPr>
                <w:b/>
                <w:bCs/>
                <w:color w:val="FFFFFF"/>
              </w:rPr>
              <w:t>Aggregation Method</w:t>
            </w:r>
          </w:p>
        </w:tc>
      </w:tr>
      <w:tr w:rsidR="001F2191" w14:paraId="6C05FC7A" w14:textId="77777777" w:rsidTr="19E868BE">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74D1EB" w14:textId="77777777" w:rsidR="001F2191" w:rsidRDefault="00874EE9">
            <w:r>
              <w:rPr>
                <w:b/>
                <w:bCs/>
              </w:rPr>
              <w:t>Hours, Dollars</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30976C" w14:textId="77777777" w:rsidR="001F2191" w:rsidRDefault="00874EE9">
            <w:r>
              <w:t>SUM across projects</w:t>
            </w:r>
          </w:p>
        </w:tc>
      </w:tr>
      <w:tr w:rsidR="001F2191" w14:paraId="5104EE9F" w14:textId="77777777" w:rsidTr="19E868BE">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8321E2" w14:textId="77777777" w:rsidR="001F2191" w:rsidRDefault="00874EE9">
            <w:r>
              <w:rPr>
                <w:b/>
                <w:bCs/>
              </w:rPr>
              <w:t>Percentages</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49D8D4" w14:textId="77777777" w:rsidR="001F2191" w:rsidRDefault="19E868BE">
            <w:r w:rsidRPr="19E868BE">
              <w:t xml:space="preserve">Recalculate: </w:t>
            </w:r>
            <w:proofErr w:type="gramStart"/>
            <w:r w:rsidRPr="19E868BE">
              <w:t>Sum(</w:t>
            </w:r>
            <w:proofErr w:type="gramEnd"/>
            <w:r w:rsidRPr="19E868BE">
              <w:t xml:space="preserve">Numerator) / </w:t>
            </w:r>
            <w:proofErr w:type="gramStart"/>
            <w:r w:rsidRPr="19E868BE">
              <w:t>Sum(</w:t>
            </w:r>
            <w:proofErr w:type="gramEnd"/>
            <w:r w:rsidRPr="19E868BE">
              <w:t>Denominator)</w:t>
            </w:r>
          </w:p>
        </w:tc>
      </w:tr>
      <w:tr w:rsidR="001F2191" w14:paraId="4C7D434D" w14:textId="77777777" w:rsidTr="19E868BE">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C0A76B" w14:textId="77777777" w:rsidR="001F2191" w:rsidRDefault="00874EE9">
            <w:r>
              <w:rPr>
                <w:b/>
                <w:bCs/>
              </w:rPr>
              <w:t>Weighted Rates</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4D5556" w14:textId="77777777" w:rsidR="001F2191" w:rsidRDefault="19E868BE">
            <w:r w:rsidRPr="19E868BE">
              <w:t xml:space="preserve">Recalculate: </w:t>
            </w:r>
            <w:proofErr w:type="gramStart"/>
            <w:r w:rsidRPr="19E868BE">
              <w:t>Sum(</w:t>
            </w:r>
            <w:proofErr w:type="gramEnd"/>
            <w:r w:rsidRPr="19E868BE">
              <w:t xml:space="preserve">Hours × Rate) / </w:t>
            </w:r>
            <w:proofErr w:type="gramStart"/>
            <w:r w:rsidRPr="19E868BE">
              <w:t>Sum(</w:t>
            </w:r>
            <w:proofErr w:type="gramEnd"/>
            <w:r w:rsidRPr="19E868BE">
              <w:t>Hours)</w:t>
            </w:r>
          </w:p>
        </w:tc>
      </w:tr>
      <w:tr w:rsidR="001F2191" w14:paraId="71B28733" w14:textId="77777777" w:rsidTr="19E868BE">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1BA2E4" w14:textId="77777777" w:rsidR="001F2191" w:rsidRDefault="00874EE9">
            <w:r>
              <w:rPr>
                <w:b/>
                <w:bCs/>
              </w:rPr>
              <w:t>Ratios</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8A47F2" w14:textId="77777777" w:rsidR="001F2191" w:rsidRDefault="00874EE9">
            <w:r>
              <w:t>Recalculate from portfolio totals</w:t>
            </w:r>
          </w:p>
        </w:tc>
      </w:tr>
      <w:tr w:rsidR="001F2191" w14:paraId="47E515BA" w14:textId="77777777" w:rsidTr="19E868BE">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4BF8A1" w14:textId="77777777" w:rsidR="001F2191" w:rsidRDefault="00874EE9">
            <w:r>
              <w:rPr>
                <w:b/>
                <w:bCs/>
              </w:rPr>
              <w:t>Counts (Distinct)</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F533B8" w14:textId="77777777" w:rsidR="001F2191" w:rsidRDefault="00874EE9">
            <w:r>
              <w:t>Recalculate: UNIQUE over portfolio scope</w:t>
            </w:r>
          </w:p>
        </w:tc>
      </w:tr>
      <w:tr w:rsidR="001F2191" w14:paraId="4590DC5D" w14:textId="77777777" w:rsidTr="19E868BE">
        <w:tc>
          <w:tcPr>
            <w:tcW w:w="9360" w:type="dxa"/>
            <w:gridSpan w:val="2"/>
            <w:tcBorders>
              <w:top w:val="single" w:sz="8" w:space="0" w:color="5B3A85"/>
              <w:left w:val="single" w:sz="8" w:space="0" w:color="5B3A85"/>
              <w:bottom w:val="single" w:sz="8" w:space="0" w:color="5B3A85"/>
              <w:right w:val="single" w:sz="8" w:space="0" w:color="5B3A85"/>
            </w:tcBorders>
            <w:shd w:val="clear" w:color="auto" w:fill="E4DEF0"/>
            <w:tcMar>
              <w:top w:w="160" w:type="dxa"/>
              <w:left w:w="200" w:type="dxa"/>
              <w:bottom w:w="160" w:type="dxa"/>
              <w:right w:w="200" w:type="dxa"/>
            </w:tcMar>
          </w:tcPr>
          <w:p w14:paraId="088BF28C" w14:textId="200D1E02" w:rsidR="001F2191" w:rsidRDefault="19E868BE" w:rsidP="19E868BE">
            <w:pPr>
              <w:rPr>
                <w:b/>
                <w:bCs/>
                <w:color w:val="5B3A85"/>
              </w:rPr>
            </w:pPr>
            <w:r w:rsidRPr="19E868BE">
              <w:rPr>
                <w:b/>
                <w:bCs/>
                <w:color w:val="5B3A85"/>
              </w:rPr>
              <w:t xml:space="preserve">Simple averaging of project-level percentages would give disproportionate weight to small projects. Recalculation from underlying totals ensures larger projects </w:t>
            </w:r>
            <w:r w:rsidR="744C034F" w:rsidRPr="19E868BE">
              <w:rPr>
                <w:b/>
                <w:bCs/>
                <w:color w:val="5B3A85"/>
              </w:rPr>
              <w:t xml:space="preserve">carry the appropriate proportion at </w:t>
            </w:r>
            <w:r w:rsidRPr="19E868BE">
              <w:rPr>
                <w:b/>
                <w:bCs/>
                <w:color w:val="5B3A85"/>
              </w:rPr>
              <w:t>the portfolio-level metric.</w:t>
            </w:r>
          </w:p>
        </w:tc>
      </w:tr>
    </w:tbl>
    <w:p w14:paraId="60061E4C" w14:textId="2EA837D8" w:rsidR="001F2191" w:rsidRDefault="001F2191" w:rsidP="19E868BE"/>
    <w:sectPr w:rsidR="001F2191">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263D7" w14:textId="77777777" w:rsidR="004B2BF7" w:rsidRDefault="004B2BF7">
      <w:r>
        <w:separator/>
      </w:r>
    </w:p>
  </w:endnote>
  <w:endnote w:type="continuationSeparator" w:id="0">
    <w:p w14:paraId="7A43AFEE" w14:textId="77777777" w:rsidR="004B2BF7" w:rsidRDefault="004B2B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50C7E" w14:textId="12298537" w:rsidR="001F2191" w:rsidRDefault="19E868BE" w:rsidP="19E868BE">
    <w:pPr>
      <w:jc w:val="center"/>
    </w:pPr>
    <w:r w:rsidRPr="19E868BE">
      <w:rPr>
        <w:color w:val="808080"/>
        <w:sz w:val="18"/>
        <w:szCs w:val="18"/>
      </w:rPr>
      <w:t xml:space="preserve">Workforce Financial Performance Analytics • Methodology • Page </w:t>
    </w:r>
    <w:r w:rsidR="00874EE9" w:rsidRPr="19E868BE">
      <w:rPr>
        <w:color w:val="808080"/>
        <w:sz w:val="18"/>
        <w:szCs w:val="18"/>
      </w:rPr>
      <w:fldChar w:fldCharType="begin"/>
    </w:r>
    <w:r w:rsidR="00874EE9" w:rsidRPr="19E868BE">
      <w:rPr>
        <w:color w:val="808080"/>
        <w:sz w:val="18"/>
        <w:szCs w:val="18"/>
      </w:rPr>
      <w:instrText>PAGE</w:instrText>
    </w:r>
    <w:r w:rsidR="00874EE9" w:rsidRPr="19E868BE">
      <w:rPr>
        <w:color w:val="808080"/>
        <w:sz w:val="18"/>
        <w:szCs w:val="18"/>
      </w:rPr>
      <w:fldChar w:fldCharType="separate"/>
    </w:r>
    <w:r w:rsidR="00DC4E31">
      <w:rPr>
        <w:noProof/>
        <w:color w:val="808080"/>
        <w:sz w:val="18"/>
        <w:szCs w:val="18"/>
      </w:rPr>
      <w:t>1</w:t>
    </w:r>
    <w:r w:rsidR="00874EE9" w:rsidRPr="19E868BE">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EEC34" w14:textId="77777777" w:rsidR="004B2BF7" w:rsidRDefault="004B2BF7">
      <w:r>
        <w:separator/>
      </w:r>
    </w:p>
  </w:footnote>
  <w:footnote w:type="continuationSeparator" w:id="0">
    <w:p w14:paraId="12B90560" w14:textId="77777777" w:rsidR="004B2BF7" w:rsidRDefault="004B2B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40DFC"/>
    <w:multiLevelType w:val="hybridMultilevel"/>
    <w:tmpl w:val="4F0CED8A"/>
    <w:lvl w:ilvl="0" w:tplc="699C23C2">
      <w:start w:val="1"/>
      <w:numFmt w:val="bullet"/>
      <w:lvlText w:val="•"/>
      <w:lvlJc w:val="left"/>
      <w:pPr>
        <w:ind w:left="720" w:hanging="360"/>
      </w:pPr>
    </w:lvl>
    <w:lvl w:ilvl="1" w:tplc="3A6A40FC">
      <w:numFmt w:val="decimal"/>
      <w:lvlText w:val=""/>
      <w:lvlJc w:val="left"/>
    </w:lvl>
    <w:lvl w:ilvl="2" w:tplc="4DE23F9C">
      <w:numFmt w:val="decimal"/>
      <w:lvlText w:val=""/>
      <w:lvlJc w:val="left"/>
    </w:lvl>
    <w:lvl w:ilvl="3" w:tplc="A2202ED4">
      <w:numFmt w:val="decimal"/>
      <w:lvlText w:val=""/>
      <w:lvlJc w:val="left"/>
    </w:lvl>
    <w:lvl w:ilvl="4" w:tplc="05B42A86">
      <w:numFmt w:val="decimal"/>
      <w:lvlText w:val=""/>
      <w:lvlJc w:val="left"/>
    </w:lvl>
    <w:lvl w:ilvl="5" w:tplc="9B6E6EA6">
      <w:numFmt w:val="decimal"/>
      <w:lvlText w:val=""/>
      <w:lvlJc w:val="left"/>
    </w:lvl>
    <w:lvl w:ilvl="6" w:tplc="3C12D1BC">
      <w:numFmt w:val="decimal"/>
      <w:lvlText w:val=""/>
      <w:lvlJc w:val="left"/>
    </w:lvl>
    <w:lvl w:ilvl="7" w:tplc="A874F6C4">
      <w:numFmt w:val="decimal"/>
      <w:lvlText w:val=""/>
      <w:lvlJc w:val="left"/>
    </w:lvl>
    <w:lvl w:ilvl="8" w:tplc="56B6FBB0">
      <w:numFmt w:val="decimal"/>
      <w:lvlText w:val=""/>
      <w:lvlJc w:val="left"/>
    </w:lvl>
  </w:abstractNum>
  <w:abstractNum w:abstractNumId="1" w15:restartNumberingAfterBreak="0">
    <w:nsid w:val="7F18EE78"/>
    <w:multiLevelType w:val="hybridMultilevel"/>
    <w:tmpl w:val="59CC7710"/>
    <w:lvl w:ilvl="0" w:tplc="1CAAF85C">
      <w:start w:val="1"/>
      <w:numFmt w:val="bullet"/>
      <w:lvlText w:val="●"/>
      <w:lvlJc w:val="left"/>
      <w:pPr>
        <w:ind w:left="720" w:hanging="360"/>
      </w:pPr>
    </w:lvl>
    <w:lvl w:ilvl="1" w:tplc="AA1474CC">
      <w:start w:val="1"/>
      <w:numFmt w:val="bullet"/>
      <w:lvlText w:val="○"/>
      <w:lvlJc w:val="left"/>
      <w:pPr>
        <w:ind w:left="1440" w:hanging="360"/>
      </w:pPr>
    </w:lvl>
    <w:lvl w:ilvl="2" w:tplc="49CEF25A">
      <w:start w:val="1"/>
      <w:numFmt w:val="bullet"/>
      <w:lvlText w:val="■"/>
      <w:lvlJc w:val="left"/>
      <w:pPr>
        <w:ind w:left="2160" w:hanging="360"/>
      </w:pPr>
    </w:lvl>
    <w:lvl w:ilvl="3" w:tplc="02722AE4">
      <w:start w:val="1"/>
      <w:numFmt w:val="bullet"/>
      <w:lvlText w:val="●"/>
      <w:lvlJc w:val="left"/>
      <w:pPr>
        <w:ind w:left="2880" w:hanging="360"/>
      </w:pPr>
    </w:lvl>
    <w:lvl w:ilvl="4" w:tplc="DA50C1A0">
      <w:start w:val="1"/>
      <w:numFmt w:val="bullet"/>
      <w:lvlText w:val="○"/>
      <w:lvlJc w:val="left"/>
      <w:pPr>
        <w:ind w:left="3600" w:hanging="360"/>
      </w:pPr>
    </w:lvl>
    <w:lvl w:ilvl="5" w:tplc="C9A69F86">
      <w:start w:val="1"/>
      <w:numFmt w:val="bullet"/>
      <w:lvlText w:val="■"/>
      <w:lvlJc w:val="left"/>
      <w:pPr>
        <w:ind w:left="4320" w:hanging="360"/>
      </w:pPr>
    </w:lvl>
    <w:lvl w:ilvl="6" w:tplc="6906717E">
      <w:start w:val="1"/>
      <w:numFmt w:val="bullet"/>
      <w:lvlText w:val="●"/>
      <w:lvlJc w:val="left"/>
      <w:pPr>
        <w:ind w:left="5040" w:hanging="360"/>
      </w:pPr>
    </w:lvl>
    <w:lvl w:ilvl="7" w:tplc="7B7CADBA">
      <w:start w:val="1"/>
      <w:numFmt w:val="bullet"/>
      <w:lvlText w:val="●"/>
      <w:lvlJc w:val="left"/>
      <w:pPr>
        <w:ind w:left="5760" w:hanging="360"/>
      </w:pPr>
    </w:lvl>
    <w:lvl w:ilvl="8" w:tplc="53D0E410">
      <w:start w:val="1"/>
      <w:numFmt w:val="bullet"/>
      <w:lvlText w:val="●"/>
      <w:lvlJc w:val="left"/>
      <w:pPr>
        <w:ind w:left="6480" w:hanging="360"/>
      </w:pPr>
    </w:lvl>
  </w:abstractNum>
  <w:num w:numId="1" w16cid:durableId="1049917456">
    <w:abstractNumId w:val="1"/>
    <w:lvlOverride w:ilvl="0">
      <w:startOverride w:val="1"/>
    </w:lvlOverride>
  </w:num>
  <w:num w:numId="2" w16cid:durableId="18071194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D4F2C9"/>
    <w:rsid w:val="00141958"/>
    <w:rsid w:val="00190E11"/>
    <w:rsid w:val="001F2191"/>
    <w:rsid w:val="002805D2"/>
    <w:rsid w:val="004B2BF7"/>
    <w:rsid w:val="00577A8A"/>
    <w:rsid w:val="005B3624"/>
    <w:rsid w:val="0072688A"/>
    <w:rsid w:val="00803370"/>
    <w:rsid w:val="00874EE9"/>
    <w:rsid w:val="008C3948"/>
    <w:rsid w:val="00B94AD1"/>
    <w:rsid w:val="00BB6790"/>
    <w:rsid w:val="00DC4E31"/>
    <w:rsid w:val="03D4F2C9"/>
    <w:rsid w:val="07DC4718"/>
    <w:rsid w:val="0874CEC3"/>
    <w:rsid w:val="0A3E38E7"/>
    <w:rsid w:val="0C349116"/>
    <w:rsid w:val="0CDAD11B"/>
    <w:rsid w:val="0E61F784"/>
    <w:rsid w:val="1138067B"/>
    <w:rsid w:val="19424A2B"/>
    <w:rsid w:val="198868BB"/>
    <w:rsid w:val="19E868BE"/>
    <w:rsid w:val="1C61AB45"/>
    <w:rsid w:val="1E390DB2"/>
    <w:rsid w:val="20F6A14C"/>
    <w:rsid w:val="24F56E8C"/>
    <w:rsid w:val="262FE1F5"/>
    <w:rsid w:val="2A043985"/>
    <w:rsid w:val="2B1558A4"/>
    <w:rsid w:val="2D588AFD"/>
    <w:rsid w:val="2F3CE53D"/>
    <w:rsid w:val="33C9EB32"/>
    <w:rsid w:val="38C48280"/>
    <w:rsid w:val="3A020883"/>
    <w:rsid w:val="3BE48960"/>
    <w:rsid w:val="3C10F821"/>
    <w:rsid w:val="4048F255"/>
    <w:rsid w:val="44223852"/>
    <w:rsid w:val="457CC00C"/>
    <w:rsid w:val="4A12DFE6"/>
    <w:rsid w:val="50E29DE8"/>
    <w:rsid w:val="5342B999"/>
    <w:rsid w:val="53610618"/>
    <w:rsid w:val="54BC85F4"/>
    <w:rsid w:val="6177ACD9"/>
    <w:rsid w:val="63DC838F"/>
    <w:rsid w:val="6C05E6B2"/>
    <w:rsid w:val="6FC7748A"/>
    <w:rsid w:val="706D7282"/>
    <w:rsid w:val="73F17C25"/>
    <w:rsid w:val="744C034F"/>
    <w:rsid w:val="77FB637F"/>
    <w:rsid w:val="7A5EC162"/>
    <w:rsid w:val="7C90C773"/>
    <w:rsid w:val="7E5A7AD4"/>
    <w:rsid w:val="7E8B61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A5B66"/>
  <w15:docId w15:val="{0F54939C-5D46-46C2-936D-8DB9D0335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basedOn w:val="Normal"/>
    <w:next w:val="Normal"/>
    <w:qFormat/>
    <w:pPr>
      <w:spacing w:before="360" w:after="180"/>
      <w:outlineLvl w:val="0"/>
    </w:pPr>
    <w:rPr>
      <w:b/>
      <w:bCs/>
      <w:color w:val="5B3A85"/>
      <w:sz w:val="36"/>
      <w:szCs w:val="36"/>
    </w:rPr>
  </w:style>
  <w:style w:type="paragraph" w:customStyle="1" w:styleId="heading20">
    <w:name w:val="heading 20"/>
    <w:basedOn w:val="Normal"/>
    <w:next w:val="Normal"/>
    <w:qFormat/>
    <w:pPr>
      <w:spacing w:before="300" w:after="120"/>
      <w:outlineLvl w:val="1"/>
    </w:pPr>
    <w:rPr>
      <w:b/>
      <w:bCs/>
      <w:color w:val="5B3A85"/>
      <w:sz w:val="28"/>
      <w:szCs w:val="28"/>
    </w:rPr>
  </w:style>
  <w:style w:type="paragraph" w:customStyle="1" w:styleId="heading30">
    <w:name w:val="heading 30"/>
    <w:basedOn w:val="Normal"/>
    <w:next w:val="Normal"/>
    <w:qFormat/>
    <w:pPr>
      <w:spacing w:before="200" w:after="100"/>
      <w:outlineLvl w:val="2"/>
    </w:pPr>
    <w:rPr>
      <w:b/>
      <w:bCs/>
      <w:color w:val="404040"/>
      <w:sz w:val="24"/>
      <w:szCs w:val="24"/>
    </w:rPr>
  </w:style>
  <w:style w:type="paragraph" w:styleId="Header">
    <w:name w:val="header"/>
    <w:basedOn w:val="Normal"/>
    <w:link w:val="HeaderChar"/>
    <w:uiPriority w:val="99"/>
    <w:unhideWhenUsed/>
    <w:rsid w:val="00577A8A"/>
    <w:pPr>
      <w:tabs>
        <w:tab w:val="center" w:pos="4680"/>
        <w:tab w:val="right" w:pos="9360"/>
      </w:tabs>
    </w:pPr>
  </w:style>
  <w:style w:type="character" w:customStyle="1" w:styleId="HeaderChar">
    <w:name w:val="Header Char"/>
    <w:basedOn w:val="DefaultParagraphFont"/>
    <w:link w:val="Header"/>
    <w:uiPriority w:val="99"/>
    <w:rsid w:val="00577A8A"/>
  </w:style>
  <w:style w:type="paragraph" w:styleId="Footer">
    <w:name w:val="footer"/>
    <w:basedOn w:val="Normal"/>
    <w:link w:val="FooterChar"/>
    <w:uiPriority w:val="99"/>
    <w:unhideWhenUsed/>
    <w:rsid w:val="00577A8A"/>
    <w:pPr>
      <w:tabs>
        <w:tab w:val="center" w:pos="4680"/>
        <w:tab w:val="right" w:pos="9360"/>
      </w:tabs>
    </w:pPr>
  </w:style>
  <w:style w:type="character" w:customStyle="1" w:styleId="FooterChar">
    <w:name w:val="Footer Char"/>
    <w:basedOn w:val="DefaultParagraphFont"/>
    <w:link w:val="Footer"/>
    <w:uiPriority w:val="99"/>
    <w:rsid w:val="00577A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1377</Words>
  <Characters>8981</Characters>
  <Application>Microsoft Office Word</Application>
  <DocSecurity>0</DocSecurity>
  <Lines>230</Lines>
  <Paragraphs>199</Paragraphs>
  <ScaleCrop>false</ScaleCrop>
  <Company/>
  <LinksUpToDate>false</LinksUpToDate>
  <CharactersWithSpaces>10159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Workforce Financial Performance Analytics - Methodology</dc:title>
  <dc:creator>Sample, Rogue</dc:creator>
  <cp:lastModifiedBy>Sample, Rogue</cp:lastModifiedBy>
  <cp:revision>10</cp:revision>
  <dcterms:created xsi:type="dcterms:W3CDTF">2026-07-14T05:56:00Z</dcterms:created>
  <dcterms:modified xsi:type="dcterms:W3CDTF">2026-07-14T18:23:00Z</dcterms:modified>
</cp:coreProperties>
</file>