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ELDERLOGIC</w:t>
      </w:r>
    </w:p>
    <w:p>
      <w:pPr>
        <w:spacing w:after="130"/>
      </w:pPr>
      <w:r>
        <w:rPr>
          <w:rFonts w:ascii="Calibri" w:cs="Calibri" w:eastAsia="Calibri" w:hAnsi="Calibri"/>
          <w:color w:val="10A56F"/>
          <w:sz w:val="22"/>
          <w:szCs w:val="22"/>
        </w:rPr>
        <w:t xml:space="preserve">Hospice Concierge Platform · Website</w:t>
      </w:r>
    </w:p>
    <w:p>
      <w:pPr>
        <w:pBdr>
          <w:bottom w:val="single" w:color="10A56F" w:sz="10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E4E8EF" w:sz="4"/>
          <w:insideV w:val="none"/>
        </w:tblBorders>
      </w:tblPr>
      <w:tblGrid>
        <w:gridCol w:w="2000"/>
        <w:gridCol w:w="7360"/>
      </w:tblGrid>
      <w:tr>
        <w:tc>
          <w:tcPr>
            <w:tcW w:type="dxa" w:w="2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For</w:t>
            </w:r>
          </w:p>
        </w:tc>
        <w:tc>
          <w:tcPr>
            <w:tcW w:type="dxa" w:w="73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Terrah Shaw, ElderLogic LLC</w:t>
            </w:r>
          </w:p>
        </w:tc>
      </w:tr>
      <w:tr>
        <w:tc>
          <w:tcPr>
            <w:tcW w:type="dxa" w:w="2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From</w:t>
            </w:r>
          </w:p>
        </w:tc>
        <w:tc>
          <w:tcPr>
            <w:tcW w:type="dxa" w:w="73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Om Singh Chandel, Delpat LLP</w:t>
            </w:r>
          </w:p>
        </w:tc>
      </w:tr>
      <w:tr>
        <w:tc>
          <w:tcPr>
            <w:tcW w:type="dxa" w:w="2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Date</w:t>
            </w:r>
          </w:p>
        </w:tc>
        <w:tc>
          <w:tcPr>
            <w:tcW w:type="dxa" w:w="73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August 2026</w:t>
            </w:r>
          </w:p>
        </w:tc>
      </w:tr>
    </w:tbl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1. Overview</w:t>
      </w:r>
    </w:p>
    <w:p>
      <w:pPr>
        <w:spacing w:after="13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ElderLogic’s current site is built on Wix and presents the product as a field tool for placement agencies. What you sell now is a concierge platform for hospice teams, built on around 2,700 Arizona facilities and the state’s licensing and inspection record. None of that is on the site.</w:t>
      </w:r>
    </w:p>
    <w:p>
      <w:pPr>
        <w:spacing w:after="13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This proposal covers a replacement, built from scratch. One product page, three supporting pages, custom built, designed for desktop and phone.</w:t>
      </w:r>
    </w:p>
    <w:p>
      <w:pPr>
        <w:spacing w:after="13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Page structure, messaging and copy are covered in the companion Content and Positioning document.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2. Scope of Work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0A56F"/>
          <w:sz w:val="20"/>
          <w:szCs w:val="20"/>
        </w:rPr>
        <w:t xml:space="preserve">2.1 Site Structure</w:t>
      </w:r>
    </w:p>
    <w:p>
      <w:pPr>
        <w:spacing w:after="60" w:before="1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Product page, working structure: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Hero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The coverage gap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What the concierge service delivers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The AZDHS record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Tour workflow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Territory canvassing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Oversight and reporting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Demo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Enquiry</w:t>
      </w:r>
    </w:p>
    <w:p>
      <w:pPr>
        <w:spacing w:after="60" w:before="1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Supporting pages: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FAQ. Takes the objections that would otherwise make the product page long, and brings in search traffic on its own.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Privacy policy, using the text you supplied.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Error page, designed, links back into the site.</w:t>
      </w:r>
    </w:p>
    <w:p>
      <w:pPr>
        <w:spacing w:after="130" w:line="264"/>
      </w:pPr>
      <w:r>
        <w:rPr>
          <w:rFonts w:ascii="Calibri" w:cs="Calibri" w:eastAsia="Calibri" w:hAnsi="Calibri"/>
          <w:i/>
          <w:iCs/>
          <w:color w:val="5A6472"/>
          <w:sz w:val="19"/>
          <w:szCs w:val="19"/>
        </w:rPr>
        <w:t xml:space="preserve">The sections above are the working structure. Final structure and copy are developed in the companion Content and Positioning document, which we iterate on together before anything is designed.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0A56F"/>
          <w:sz w:val="20"/>
          <w:szCs w:val="20"/>
        </w:rPr>
        <w:t xml:space="preserve">2.2 Content and Copy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Positioning agreed first, so every line on the page argues for the same thing.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Copy written for every section, developed with you.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Alternative versions where a line could go two ways, so you choose.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FAQ questions and answers written with you.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0A56F"/>
          <w:sz w:val="20"/>
          <w:szCs w:val="20"/>
        </w:rPr>
        <w:t xml:space="preserve">2.3 Design and Media Placement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 concepts for the main sections, shown before we build anything.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Desktop and phone designed separately, each laid out for its own screen.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Mobile navigation, and a call to action that stays reachable while scrolling.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Every section gets defined slots for screenshots, photography and the demo video, sized and positioned in the design.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Where an asset is not ready, the design shows a marked placeholder saying what goes there and at what size. Nothing gets improvised during build, and each piece drops in when it arrives.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Media planned per section against your Canva assets, iStock credits and the demo video.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0A56F"/>
          <w:sz w:val="20"/>
          <w:szCs w:val="20"/>
        </w:rPr>
        <w:t xml:space="preserve">2.4 Enquiry Handling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Contact form with validation and spam protection.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Submissions routed through our automation to your inbox, or into Zoho as leads.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Confirmation shown to the sender after submitting.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Fallback delivery path so a submission is never lost silently.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0A56F"/>
          <w:sz w:val="20"/>
          <w:szCs w:val="20"/>
        </w:rPr>
        <w:t xml:space="preserve">2.5 Migration from Wix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Every current page URL mapped to its replacement, with permanent redirects.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Domain repointed, not transferred. It stays registered to you.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Only the website records change. Your email on the domain is untouched.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Hosting configured under your account.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0A56F"/>
          <w:sz w:val="20"/>
          <w:szCs w:val="20"/>
        </w:rPr>
        <w:t xml:space="preserve">2.6 Performance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Images optimised and served in modern formats.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Below-the-fold content loaded on demand.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Font loading controlled to prevent layout shift.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Lighthouse scores checked before launch.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0A56F"/>
          <w:sz w:val="20"/>
          <w:szCs w:val="20"/>
        </w:rPr>
        <w:t xml:space="preserve">2.7 Search, Sharing and AI Discoverability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Page titles and meta descriptions for each page.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Canonical tags, sitemap, robots directives.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Structured data for the organisation and the product.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Social preview cards for links shared by email or message.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Semantic markup with correct heading structure. All content as live text, readable by search crawlers and AI tools.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0A56F"/>
          <w:sz w:val="20"/>
          <w:szCs w:val="20"/>
        </w:rPr>
        <w:t xml:space="preserve">2.8 Accessibility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Keyboard navigation with visible focus states.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ARIA labelling where markup needs it.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Form fields labelled.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Colour contrast to WCAG AA.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Alternative text on images.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Screen reader pass.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0A56F"/>
          <w:sz w:val="20"/>
          <w:szCs w:val="20"/>
        </w:rPr>
        <w:t xml:space="preserve">2.9 Analytics and Tracking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Google Analytics set up under your account.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Events tracked on demo requests, form submissions and video plays.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Reporting on which sections lead to enquiries.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3. Standards and Process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Real device testing on iOS and Android.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Cross browser checks.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Form tested end to end before launch.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Preview link available throughout the build, so you can look at any point.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Every change reviewed against the agreed design before it goes live.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Handover note at the end recording what you own, where it is hosted, and how to reach it.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4. Things We Can Do Later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Content management system, so you can edit copy yourself.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Second product page for the placement agent product.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Blog, resources and case studies, once there is customer material.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Additional state coverage as the data expands.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Demo video production.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Terms of service, if you want one. That text would come from you or your attorney.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5. Delivery Schedule</w:t>
      </w:r>
    </w:p>
    <w:p>
      <w:pPr>
        <w:spacing w:after="13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Four weeks from acceptance.</w:t>
      </w:r>
    </w:p>
    <w:tbl>
      <w:tblPr>
        <w:tblW w:type="dxa" w:w="936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E4E8EF" w:sz="4"/>
          <w:insideV w:val="single" w:color="E4E8EF" w:sz="4"/>
        </w:tblBorders>
      </w:tblPr>
      <w:tblGrid>
        <w:gridCol w:w="1200"/>
        <w:gridCol w:w="3900"/>
        <w:gridCol w:w="4260"/>
      </w:tblGrid>
      <w:tr>
        <w:trPr>
          <w:tblHeader/>
        </w:trPr>
        <w:tc>
          <w:tcPr>
            <w:tcW w:type="dxa" w:w="1200"/>
            <w:shd w:fill="F6F8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shd w:fill="F6F8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Work</w:t>
            </w:r>
          </w:p>
        </w:tc>
        <w:tc>
          <w:tcPr>
            <w:tcW w:type="dxa" w:w="4260"/>
            <w:shd w:fill="F6F8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What you get</w:t>
            </w:r>
          </w:p>
        </w:tc>
      </w:tr>
      <w:tr>
        <w:tc>
          <w:tcPr>
            <w:tcW w:type="dxa" w:w="1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Week 1</w:t>
            </w:r>
          </w:p>
        </w:tc>
        <w:tc>
          <w:tcPr>
            <w:tcW w:type="dxa" w:w="3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Positioning and copy</w:t>
            </w:r>
          </w:p>
        </w:tc>
        <w:tc>
          <w:tcPr>
            <w:tcW w:type="dxa" w:w="42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Full copy for every section, for your review</w:t>
            </w:r>
          </w:p>
        </w:tc>
      </w:tr>
      <w:tr>
        <w:tc>
          <w:tcPr>
            <w:tcW w:type="dxa" w:w="1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Week 2</w:t>
            </w:r>
          </w:p>
        </w:tc>
        <w:tc>
          <w:tcPr>
            <w:tcW w:type="dxa" w:w="3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Design</w:t>
            </w:r>
          </w:p>
        </w:tc>
        <w:tc>
          <w:tcPr>
            <w:tcW w:type="dxa" w:w="42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Concepts, then complete desktop and phone designs</w:t>
            </w:r>
          </w:p>
        </w:tc>
      </w:tr>
      <w:tr>
        <w:tc>
          <w:tcPr>
            <w:tcW w:type="dxa" w:w="1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Week 3</w:t>
            </w:r>
          </w:p>
        </w:tc>
        <w:tc>
          <w:tcPr>
            <w:tcW w:type="dxa" w:w="3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Build</w:t>
            </w:r>
          </w:p>
        </w:tc>
        <w:tc>
          <w:tcPr>
            <w:tcW w:type="dxa" w:w="42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Live preview link, updated as it progresses</w:t>
            </w:r>
          </w:p>
        </w:tc>
      </w:tr>
      <w:tr>
        <w:tc>
          <w:tcPr>
            <w:tcW w:type="dxa" w:w="1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Week 4</w:t>
            </w:r>
          </w:p>
        </w:tc>
        <w:tc>
          <w:tcPr>
            <w:tcW w:type="dxa" w:w="3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Build, testing and launch</w:t>
            </w:r>
          </w:p>
        </w:tc>
        <w:tc>
          <w:tcPr>
            <w:tcW w:type="dxa" w:w="42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Site live on elderlogic.app</w:t>
            </w:r>
          </w:p>
        </w:tc>
      </w:tr>
    </w:tbl>
    <w:p>
      <w:pPr>
        <w:spacing w:after="13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Copy and design take the time, because they need you in the loop. Build is the faster part.</w:t>
      </w:r>
    </w:p>
    <w:p>
      <w:pPr>
        <w:spacing w:after="13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The demo video is the one variable. If it is not ready, we can launch without it and add it after. That is your call.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6. Investment</w:t>
      </w:r>
    </w:p>
    <w:tbl>
      <w:tblPr>
        <w:tblW w:type="dxa" w:w="936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E4E8EF" w:sz="4"/>
          <w:insideV w:val="single" w:color="E4E8EF" w:sz="4"/>
        </w:tblBorders>
      </w:tblPr>
      <w:tblGrid>
        <w:gridCol w:w="6100"/>
        <w:gridCol w:w="3260"/>
      </w:tblGrid>
      <w:tr>
        <w:tc>
          <w:tcPr>
            <w:tcW w:type="dxa" w:w="6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Website build and launch</w:t>
            </w:r>
          </w:p>
        </w:tc>
        <w:tc>
          <w:tcPr>
            <w:tcW w:type="dxa" w:w="3260"/>
            <w:shd w:fill="F6F8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30"/>
                <w:szCs w:val="30"/>
              </w:rPr>
              <w:t xml:space="preserve">$1,500</w:t>
            </w:r>
          </w:p>
        </w:tc>
      </w:tr>
    </w:tbl>
    <w:p>
      <w:pPr>
        <w:spacing w:after="13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Fifty percent to begin, fifty percent on launch.</w:t>
      </w:r>
    </w:p>
    <w:p>
      <w:pPr>
        <w:spacing w:after="13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The first month after launch is included. Corrections, adjustments and copy changes in that window are covered.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7. Support After Launch</w:t>
      </w:r>
    </w:p>
    <w:p>
      <w:pPr>
        <w:spacing w:after="130" w:line="264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From month two, $150 per month covers: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Hosting and uptime monitoring.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Enquiry pipeline maintained, so forms keep delivering.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Copy and image updates when you need them.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New material placed as it arrives, including app screenshots and the demo video.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SSL and dependency updates.</w:t>
      </w:r>
    </w:p>
    <w:p>
      <w:pPr>
        <w:pStyle w:val="ListParagraph"/>
        <w:numPr>
          <w:ilvl w:val="0"/>
          <w:numId w:val="2"/>
        </w:numPr>
        <w:spacing w:after="55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Analytics kept working.</w:t>
      </w:r>
    </w:p>
    <w:p>
      <w:pPr>
        <w:spacing w:after="13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Since there is no CMS in this phase, changes come through us. This is what makes that practical instead of something to quote each time.</w:t>
      </w:r>
    </w:p>
    <w:p>
      <w:pPr>
        <w:spacing w:after="13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Can be combined with the monthly Arizona data work if a single arrangement is easier.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8. Approval</w:t>
      </w:r>
    </w:p>
    <w:p>
      <w:pPr>
        <w:spacing w:after="13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Confirm the scope and answer the open questions in the Content and Positioning document, and we start. A short list of the assets and access we need will follow separately.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200" w:right="1440" w:bottom="1200" w:left="1440" w:header="720" w:footer="72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EE8" w:sz="4"/>
      </w:pBdr>
      <w:tabs>
        <w:tab w:val="right" w:pos="9360"/>
      </w:tabs>
      <w:spacing w:before="120"/>
    </w:pPr>
    <w:r>
      <w:rPr>
        <w:rFonts w:ascii="Calibri" w:cs="Calibri" w:eastAsia="Calibri" w:hAnsi="Calibri"/>
        <w:color w:val="5A6472"/>
        <w:sz w:val="17"/>
        <w:szCs w:val="17"/>
      </w:rPr>
      <w:t xml:space="preserve">Delpat LLP</w:t>
    </w:r>
    <w:r>
      <w:rPr>
        <w:rFonts w:ascii="Calibri" w:cs="Calibri" w:eastAsia="Calibri" w:hAnsi="Calibri"/>
        <w:color w:val="5A6472"/>
        <w:sz w:val="17"/>
        <w:szCs w:val="17"/>
      </w:rPr>
      <w:t xml:space="preserve">	Page </w:t>
    </w:r>
    <w:r>
      <w:rPr>
        <w:rFonts w:ascii="Calibri" w:cs="Calibri" w:eastAsia="Calibri" w:hAnsi="Calibri"/>
        <w:color w:val="5A6472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472"/>
        <w:sz w:val="17"/>
        <w:szCs w:val="17"/>
      </w:rPr>
      <w:t xml:space="preserve"> of </w:t>
    </w:r>
    <w:r>
      <w:rPr>
        <w:rFonts w:ascii="Calibri" w:cs="Calibri" w:eastAsia="Calibri" w:hAnsi="Calibri"/>
        <w:color w:val="5A6472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472"/>
        <w:sz w:val="17"/>
        <w:szCs w:val="17"/>
      </w:rPr>
      <w:t xml:space="preserve">Delpat LLP  ·  info@delpat.in  ·  www.delpat.in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EE8" w:sz="4"/>
      </w:pBdr>
      <w:tabs>
        <w:tab w:val="right" w:pos="9360"/>
      </w:tabs>
      <w:spacing w:after="120"/>
    </w:pPr>
    <w:r>
      <w:rPr>
        <w:rFonts w:ascii="Calibri" w:cs="Calibri" w:eastAsia="Calibri" w:hAnsi="Calibri"/>
        <w:b/>
        <w:bCs/>
        <w:color w:val="1B3A6B"/>
        <w:sz w:val="17"/>
        <w:szCs w:val="17"/>
      </w:rPr>
      <w:t xml:space="preserve">ElderLogic</w:t>
    </w:r>
    <w:r>
      <w:rPr>
        <w:rFonts w:ascii="Calibri" w:cs="Calibri" w:eastAsia="Calibri" w:hAnsi="Calibri"/>
        <w:color w:val="5A6472"/>
        <w:sz w:val="17"/>
        <w:szCs w:val="17"/>
      </w:rPr>
      <w:t xml:space="preserve">  ·  Hospice Concierge Platform</w:t>
    </w:r>
    <w:r>
      <w:rPr>
        <w:rFonts w:ascii="Calibri" w:cs="Calibri" w:eastAsia="Calibri" w:hAnsi="Calibri"/>
        <w:color w:val="5A6472"/>
        <w:sz w:val="17"/>
        <w:szCs w:val="17"/>
      </w:rPr>
      <w:t xml:space="preserve">	Website Proposal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74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2026-08-23T15:09:22.974Z</dcterms:created>
  <dcterms:modified xsi:type="dcterms:W3CDTF">2026-08-23T15:09:22.985Z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