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A3A6B"/>
          <w:sz w:val="52"/>
          <w:szCs w:val="52"/>
        </w:rPr>
        <w:t xml:space="preserve">DENGUE CLINICAL DECISION SUPPORT SYSTEM</w:t>
      </w:r>
    </w:p>
    <w:p>
      <w:pPr>
        <w:spacing w:before="0" w:after="200"/>
        <w:jc w:val="center"/>
      </w:pPr>
      <w:r>
        <w:rPr>
          <w:rFonts w:ascii="Arial" w:cs="Arial" w:eastAsia="Arial" w:hAnsi="Arial"/>
          <w:i/>
          <w:iCs/>
          <w:color w:val="2E75B6"/>
          <w:sz w:val="32"/>
          <w:szCs w:val="32"/>
        </w:rPr>
        <w:t xml:space="preserve">Technical &amp; Clinical Documentation</w:t>
      </w:r>
    </w:p>
    <w:p>
      <w:pPr>
        <w:spacing w:before="0" w:after="160"/>
        <w:jc w:val="center"/>
      </w:pPr>
      <w:r>
        <w:rPr>
          <w:rFonts w:ascii="Arial" w:cs="Arial" w:eastAsia="Arial" w:hAnsi="Arial"/>
          <w:color w:val="666666"/>
          <w:sz w:val="24"/>
          <w:szCs w:val="24"/>
        </w:rPr>
        <w:t xml:space="preserve">Version 2.0  |  2025  |  WHO 2009 Classification Framework</w:t>
      </w:r>
    </w:p>
    <w:p>
      <w:pPr>
        <w:spacing w:before="0" w:after="800"/>
        <w:jc w:val="center"/>
      </w:pPr>
      <w:r>
        <w:rPr>
          <w:rFonts w:ascii="Arial" w:cs="Arial" w:eastAsia="Arial" w:hAnsi="Arial"/>
          <w:b/>
          <w:bCs/>
          <w:color w:val="2E75B6"/>
          <w:sz w:val="22"/>
          <w:szCs w:val="22"/>
        </w:rPr>
        <w:t xml:space="preserve">Sensitivity 100%  |  Specificity 99.2%  |  NPV 100%  |  Forecast R² = 0.9945  |  n = 2,455</w:t>
      </w:r>
    </w:p>
    <w:p>
      <w:pPr>
        <w:pBdr>
          <w:bottom w:val="single" w:color="2E75B6" w:sz="4" w:space="1"/>
        </w:pBdr>
        <w:spacing w:before="0" w:after="600"/>
        <w:jc w:val="center"/>
      </w:pPr>
      <w:r>
        <w:rPr>
          <w:rFonts w:ascii="Arial" w:cs="Arial" w:eastAsia="Arial" w:hAnsi="Arial"/>
          <w:b/>
          <w:bCs/>
          <w:color w:val="C0392B"/>
          <w:sz w:val="20"/>
          <w:szCs w:val="20"/>
        </w:rPr>
        <w:t xml:space="preserve">For Clinical Decision Support Only — Not a Substitute for Professional Medical Judgment</w:t>
      </w:r>
    </w:p>
    <w:p>
      <w:pPr>
        <w:pStyle w:val="Heading1"/>
        <w:spacing w:before="300" w:after="100"/>
      </w:pPr>
      <w:r>
        <w:rPr>
          <w:rFonts w:ascii="Arial" w:cs="Arial" w:eastAsia="Arial" w:hAnsi="Arial"/>
          <w:b/>
          <w:bCs/>
          <w:color w:val="1A3A6B"/>
          <w:sz w:val="36"/>
          <w:szCs w:val="36"/>
        </w:rPr>
        <w:t xml:space="preserve">Contents</w:t>
      </w:r>
    </w:p>
    <w:p>
      <w:pPr>
        <w:spacing w:before="60" w:after="60"/>
        <w:ind w:left="360"/>
      </w:pPr>
      <w:r>
        <w:rPr>
          <w:rFonts w:ascii="Arial" w:cs="Arial" w:eastAsia="Arial" w:hAnsi="Arial"/>
          <w:color w:val="2E75B6"/>
          <w:sz w:val="22"/>
          <w:szCs w:val="22"/>
        </w:rPr>
        <w:t xml:space="preserve">1.  Project Purpose &amp; Real-World Applicability</w:t>
      </w:r>
    </w:p>
    <w:p>
      <w:pPr>
        <w:spacing w:before="60" w:after="60"/>
        <w:ind w:left="360"/>
      </w:pPr>
      <w:r>
        <w:rPr>
          <w:rFonts w:ascii="Arial" w:cs="Arial" w:eastAsia="Arial" w:hAnsi="Arial"/>
          <w:color w:val="2E75B6"/>
          <w:sz w:val="22"/>
          <w:szCs w:val="22"/>
        </w:rPr>
        <w:t xml:space="preserve">2.  System Architecture Overview</w:t>
      </w:r>
    </w:p>
    <w:p>
      <w:pPr>
        <w:spacing w:before="60" w:after="60"/>
        <w:ind w:left="360"/>
      </w:pPr>
      <w:r>
        <w:rPr>
          <w:rFonts w:ascii="Arial" w:cs="Arial" w:eastAsia="Arial" w:hAnsi="Arial"/>
          <w:color w:val="2E75B6"/>
          <w:sz w:val="22"/>
          <w:szCs w:val="22"/>
        </w:rPr>
        <w:t xml:space="preserve">3.  Workflow: How to Use the CDSS</w:t>
      </w:r>
    </w:p>
    <w:p>
      <w:pPr>
        <w:spacing w:before="60" w:after="60"/>
        <w:ind w:left="360"/>
      </w:pPr>
      <w:r>
        <w:rPr>
          <w:rFonts w:ascii="Arial" w:cs="Arial" w:eastAsia="Arial" w:hAnsi="Arial"/>
          <w:color w:val="2E75B6"/>
          <w:sz w:val="22"/>
          <w:szCs w:val="22"/>
        </w:rPr>
        <w:t xml:space="preserve">4.  Module Reference: All Parameters Explained</w:t>
      </w:r>
    </w:p>
    <w:p>
      <w:pPr>
        <w:spacing w:before="60" w:after="60"/>
        <w:ind w:left="360"/>
      </w:pPr>
      <w:r>
        <w:rPr>
          <w:rFonts w:ascii="Arial" w:cs="Arial" w:eastAsia="Arial" w:hAnsi="Arial"/>
          <w:color w:val="2E75B6"/>
          <w:sz w:val="22"/>
          <w:szCs w:val="22"/>
        </w:rPr>
        <w:t xml:space="preserve">5.  Advanced Analytical Engines: Mathematics &amp; Logic</w:t>
      </w:r>
    </w:p>
    <w:p>
      <w:pPr>
        <w:spacing w:before="60" w:after="60"/>
        <w:ind w:left="360"/>
      </w:pPr>
      <w:r>
        <w:rPr>
          <w:rFonts w:ascii="Arial" w:cs="Arial" w:eastAsia="Arial" w:hAnsi="Arial"/>
          <w:color w:val="2E75B6"/>
          <w:sz w:val="22"/>
          <w:szCs w:val="22"/>
        </w:rPr>
        <w:t xml:space="preserve">6.  Machine Learning Model</w:t>
      </w:r>
    </w:p>
    <w:p>
      <w:pPr>
        <w:spacing w:before="60" w:after="60"/>
        <w:ind w:left="360"/>
      </w:pPr>
      <w:r>
        <w:rPr>
          <w:rFonts w:ascii="Arial" w:cs="Arial" w:eastAsia="Arial" w:hAnsi="Arial"/>
          <w:color w:val="2E75B6"/>
          <w:sz w:val="22"/>
          <w:szCs w:val="22"/>
        </w:rPr>
        <w:t xml:space="preserve">7.  WHO 2009 Classification Engine</w:t>
      </w:r>
    </w:p>
    <w:p>
      <w:pPr>
        <w:spacing w:before="60" w:after="60"/>
        <w:ind w:left="360"/>
      </w:pPr>
      <w:r>
        <w:rPr>
          <w:rFonts w:ascii="Arial" w:cs="Arial" w:eastAsia="Arial" w:hAnsi="Arial"/>
          <w:color w:val="2E75B6"/>
          <w:sz w:val="22"/>
          <w:szCs w:val="22"/>
        </w:rPr>
        <w:t xml:space="preserve">8.  Alert System &amp; Fatigue Prevention</w:t>
      </w:r>
    </w:p>
    <w:p>
      <w:pPr>
        <w:spacing w:before="60" w:after="60"/>
        <w:ind w:left="360"/>
      </w:pPr>
      <w:r>
        <w:rPr>
          <w:rFonts w:ascii="Arial" w:cs="Arial" w:eastAsia="Arial" w:hAnsi="Arial"/>
          <w:color w:val="2E75B6"/>
          <w:sz w:val="22"/>
          <w:szCs w:val="22"/>
        </w:rPr>
        <w:t xml:space="preserve">9.  OCR Lab Report Extraction</w:t>
      </w:r>
    </w:p>
    <w:p>
      <w:pPr>
        <w:spacing w:before="60" w:after="60"/>
        <w:ind w:left="360"/>
      </w:pPr>
      <w:r>
        <w:rPr>
          <w:rFonts w:ascii="Arial" w:cs="Arial" w:eastAsia="Arial" w:hAnsi="Arial"/>
          <w:color w:val="2E75B6"/>
          <w:sz w:val="22"/>
          <w:szCs w:val="22"/>
        </w:rPr>
        <w:t xml:space="preserve">10. Discharge Readiness Checklist</w:t>
      </w:r>
    </w:p>
    <w:p>
      <w:pPr>
        <w:spacing w:before="60" w:after="60"/>
        <w:ind w:left="360"/>
      </w:pPr>
      <w:r>
        <w:rPr>
          <w:rFonts w:ascii="Arial" w:cs="Arial" w:eastAsia="Arial" w:hAnsi="Arial"/>
          <w:color w:val="2E75B6"/>
          <w:sz w:val="22"/>
          <w:szCs w:val="22"/>
        </w:rPr>
        <w:t xml:space="preserve">11. PDF Clinical Report Export</w:t>
      </w:r>
    </w:p>
    <w:p>
      <w:pPr>
        <w:spacing w:before="60" w:after="60"/>
        <w:ind w:left="360"/>
      </w:pPr>
      <w:r>
        <w:rPr>
          <w:rFonts w:ascii="Arial" w:cs="Arial" w:eastAsia="Arial" w:hAnsi="Arial"/>
          <w:color w:val="2E75B6"/>
          <w:sz w:val="22"/>
          <w:szCs w:val="22"/>
        </w:rPr>
        <w:t xml:space="preserve">12. Global Deployment &amp; Refinement Roadmap</w:t>
      </w:r>
    </w:p>
    <w:p>
      <w:pPr>
        <w:spacing w:before="60" w:after="60"/>
        <w:ind w:left="360"/>
      </w:pPr>
      <w:r>
        <w:rPr>
          <w:rFonts w:ascii="Arial" w:cs="Arial" w:eastAsia="Arial" w:hAnsi="Arial"/>
          <w:color w:val="2E75B6"/>
          <w:sz w:val="22"/>
          <w:szCs w:val="22"/>
        </w:rPr>
        <w:t xml:space="preserve">13. Limitations &amp; Responsible Use</w:t>
      </w:r>
    </w:p>
    <w:p>
      <w:pPr>
        <w:pBdr>
          <w:bottom w:val="single" w:color="2E75B6" w:sz="4" w:space="1"/>
        </w:pBdr>
        <w:spacing w:before="160" w:after="160"/>
      </w:pPr>
    </w:p>
    <w:p>
      <w:pPr>
        <w:pStyle w:val="Heading1"/>
        <w:spacing w:before="300" w:after="100"/>
      </w:pPr>
      <w:r>
        <w:rPr>
          <w:rFonts w:ascii="Arial" w:cs="Arial" w:eastAsia="Arial" w:hAnsi="Arial"/>
          <w:b/>
          <w:bCs/>
          <w:color w:val="1A3A6B"/>
          <w:sz w:val="36"/>
          <w:szCs w:val="36"/>
        </w:rPr>
        <w:t xml:space="preserve">1.  Project Purpose &amp; Real-World Applicability</w:t>
      </w:r>
    </w:p>
    <w:p>
      <w:pPr>
        <w:spacing w:before="80" w:after="80"/>
      </w:pPr>
      <w:r>
        <w:rPr>
          <w:rFonts w:ascii="Arial" w:cs="Arial" w:eastAsia="Arial" w:hAnsi="Arial"/>
          <w:b w:val="false"/>
          <w:bCs w:val="false"/>
          <w:i w:val="false"/>
          <w:iCs w:val="false"/>
          <w:color w:val="333333"/>
          <w:sz w:val="22"/>
          <w:szCs w:val="22"/>
        </w:rPr>
        <w:t xml:space="preserve">Dengue fever affects an estimated 400 million people annually across 129 countries. The clinical challenge is not diagnosis — a positive NS1 antigen or IgM/IgG test confirms dengue — but triage: identifying which patients will develop severe dengue, characterised by plasma leakage, severe bleeding, or organ impairment, in time to intervene before haemodynamic collapse.</w:t>
      </w:r>
    </w:p>
    <w:p>
      <w:pPr>
        <w:spacing w:before="80" w:after="80"/>
      </w:pPr>
      <w:r>
        <w:rPr>
          <w:rFonts w:ascii="Arial" w:cs="Arial" w:eastAsia="Arial" w:hAnsi="Arial"/>
          <w:b w:val="false"/>
          <w:bCs w:val="false"/>
          <w:i w:val="false"/>
          <w:iCs w:val="false"/>
          <w:color w:val="333333"/>
          <w:sz w:val="22"/>
          <w:szCs w:val="22"/>
        </w:rPr>
        <w:t xml:space="preserve">The WHO 2009 dengue classification stratifies patients into three groups (A, B, C) based on warning signs and severe criteria. Applying this framework accurately requires simultaneous consideration of multiple evolving parameters: platelet trajectory, haematocrit trend, haemodynamic stability, urine output, and symptom burden. Under real clinical conditions — high patient volume, resource-constrained settings, fatigued clinicians — this cognitive integration fails in ways that cost lives.</w:t>
      </w:r>
    </w:p>
    <w:p>
      <w:pPr>
        <w:spacing w:before="80" w:after="80"/>
      </w:pPr>
      <w:r>
        <w:rPr>
          <w:rFonts w:ascii="Arial" w:cs="Arial" w:eastAsia="Arial" w:hAnsi="Arial"/>
          <w:b w:val="false"/>
          <w:bCs w:val="false"/>
          <w:i w:val="false"/>
          <w:iCs w:val="false"/>
          <w:color w:val="333333"/>
          <w:sz w:val="22"/>
          <w:szCs w:val="22"/>
        </w:rPr>
        <w:t xml:space="preserve">The Dengue CDSS integrates all parameters simultaneously, computes derived indices (Shock Index, MAP, Pulse Pressure), detects patterns across serial reports, and generates prioritised clinical recommendations. It does not replace the physician; it ensures no critical pattern goes unnoticed.</w:t>
      </w:r>
    </w:p>
    <w:p>
      <w:pPr>
        <w:spacing w:before="60" w:after="60"/>
      </w:pPr>
      <w:r>
        <w:t xml:space="preserve"> </w:t>
      </w:r>
    </w:p>
    <w:p>
      <w:pPr>
        <w:pStyle w:val="Heading2"/>
        <w:spacing w:before="300" w:after="100"/>
      </w:pPr>
      <w:r>
        <w:rPr>
          <w:rFonts w:ascii="Arial" w:cs="Arial" w:eastAsia="Arial" w:hAnsi="Arial"/>
          <w:b/>
          <w:bCs/>
          <w:color w:val="2E75B6"/>
          <w:sz w:val="28"/>
          <w:szCs w:val="28"/>
        </w:rPr>
        <w:t xml:space="preserve">1.1  What Problem Does This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Problem in Clinical Practice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CDSS Solution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Clinician must mentally track 6+ parameters across 3+ serial CBCs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Vitals matrix + trajectory engine compute all trends automatically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Platelet crash velocity invisible from single snapshot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Trajectory engine: velocity + acceleration + time-to-threshold countdowns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WHO classification misses patients near group boundaries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Continuous severity score 0–100 with direction vector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Multiple simultaneous alerts cause fatigue and are ignored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Alert suppression: exactly 1 CRITICAL alert surfaced prominently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Model cannot signal its own uncertainty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OOD detection + 95% CI from RF tree ensemble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Population reference ranges miss individual baseline variation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Personal baseline delta analysis from patient’s own first report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Discharge timing uncertain; premature discharge causes rebound shock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7-criterion WHO discharge checklist with fever-free hours and oral tolerance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Lab report re-entry introduces transcription errors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On-device OCR extraction with confidence scoring and staged acceptance</w:t>
            </w:r>
          </w:p>
        </w:tc>
      </w:tr>
    </w:tbl>
    <w:p>
      <w:pPr>
        <w:spacing w:before="60" w:after="60"/>
      </w:pPr>
      <w:r>
        <w:t xml:space="preserve"> </w:t>
      </w:r>
    </w:p>
    <w:p>
      <w:pPr>
        <w:pStyle w:val="Heading2"/>
        <w:spacing w:before="300" w:after="100"/>
      </w:pPr>
      <w:r>
        <w:rPr>
          <w:rFonts w:ascii="Arial" w:cs="Arial" w:eastAsia="Arial" w:hAnsi="Arial"/>
          <w:b/>
          <w:bCs/>
          <w:color w:val="2E75B6"/>
          <w:sz w:val="28"/>
          <w:szCs w:val="28"/>
        </w:rPr>
        <w:t xml:space="preserve">1.2  Who Uses This System?</w:t>
      </w:r>
    </w:p>
    <w:p>
      <w:pPr>
        <w:pStyle w:val="ListParagraph"/>
        <w:numPr>
          <w:ilvl w:val="0"/>
          <w:numId w:val="2"/>
        </w:numPr>
        <w:spacing w:before="50" w:after="50"/>
      </w:pPr>
      <w:r>
        <w:rPr>
          <w:rFonts w:ascii="Arial" w:cs="Arial" w:eastAsia="Arial" w:hAnsi="Arial"/>
          <w:color w:val="333333"/>
          <w:sz w:val="22"/>
          <w:szCs w:val="22"/>
        </w:rPr>
        <w:t xml:space="preserve">Emergency physicians and internists triaging febrile patients in dengue-endemic regions</w:t>
      </w:r>
    </w:p>
    <w:p>
      <w:pPr>
        <w:pStyle w:val="ListParagraph"/>
        <w:numPr>
          <w:ilvl w:val="0"/>
          <w:numId w:val="2"/>
        </w:numPr>
        <w:spacing w:before="50" w:after="50"/>
      </w:pPr>
      <w:r>
        <w:rPr>
          <w:rFonts w:ascii="Arial" w:cs="Arial" w:eastAsia="Arial" w:hAnsi="Arial"/>
          <w:color w:val="333333"/>
          <w:sz w:val="22"/>
          <w:szCs w:val="22"/>
        </w:rPr>
        <w:t xml:space="preserve">Ward nurses performing serial monitoring — system alerts to deterioration patterns</w:t>
      </w:r>
    </w:p>
    <w:p>
      <w:pPr>
        <w:pStyle w:val="ListParagraph"/>
        <w:numPr>
          <w:ilvl w:val="0"/>
          <w:numId w:val="2"/>
        </w:numPr>
        <w:spacing w:before="50" w:after="50"/>
      </w:pPr>
      <w:r>
        <w:rPr>
          <w:rFonts w:ascii="Arial" w:cs="Arial" w:eastAsia="Arial" w:hAnsi="Arial"/>
          <w:color w:val="333333"/>
          <w:sz w:val="22"/>
          <w:szCs w:val="22"/>
        </w:rPr>
        <w:t xml:space="preserve">District hospitals and primary care centres without specialist support</w:t>
      </w:r>
    </w:p>
    <w:p>
      <w:pPr>
        <w:pStyle w:val="ListParagraph"/>
        <w:numPr>
          <w:ilvl w:val="0"/>
          <w:numId w:val="2"/>
        </w:numPr>
        <w:spacing w:before="50" w:after="50"/>
      </w:pPr>
      <w:r>
        <w:rPr>
          <w:rFonts w:ascii="Arial" w:cs="Arial" w:eastAsia="Arial" w:hAnsi="Arial"/>
          <w:color w:val="333333"/>
          <w:sz w:val="22"/>
          <w:szCs w:val="22"/>
        </w:rPr>
        <w:t xml:space="preserve">Medical educators demonstrating dengue pathophysiology and clinical decision-making</w:t>
      </w:r>
    </w:p>
    <w:p>
      <w:pPr>
        <w:pStyle w:val="ListParagraph"/>
        <w:numPr>
          <w:ilvl w:val="0"/>
          <w:numId w:val="2"/>
        </w:numPr>
        <w:spacing w:before="50" w:after="50"/>
      </w:pPr>
      <w:r>
        <w:rPr>
          <w:rFonts w:ascii="Arial" w:cs="Arial" w:eastAsia="Arial" w:hAnsi="Arial"/>
          <w:color w:val="333333"/>
          <w:sz w:val="22"/>
          <w:szCs w:val="22"/>
        </w:rPr>
        <w:t xml:space="preserve">Researchers and epidemiologists tracking outbreak severity patterns</w:t>
      </w:r>
    </w:p>
    <w:p>
      <w:pPr>
        <w:pBdr>
          <w:bottom w:val="single" w:color="2E75B6" w:sz="4" w:space="1"/>
        </w:pBdr>
        <w:spacing w:before="160" w:after="160"/>
      </w:pPr>
    </w:p>
    <w:p>
      <w:pPr>
        <w:pStyle w:val="Heading1"/>
        <w:spacing w:before="300" w:after="100"/>
      </w:pPr>
      <w:r>
        <w:rPr>
          <w:rFonts w:ascii="Arial" w:cs="Arial" w:eastAsia="Arial" w:hAnsi="Arial"/>
          <w:b/>
          <w:bCs/>
          <w:color w:val="1A3A6B"/>
          <w:sz w:val="36"/>
          <w:szCs w:val="36"/>
        </w:rPr>
        <w:t xml:space="preserve">2.  System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Layer</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Technology</w:t>
            </w:r>
          </w:p>
        </w:tc>
        <w:tc>
          <w:tcPr>
            <w:tcW w:type="dxa" w:w="4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Purpose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Frontend / UI</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Streamlit (Python)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Form-based data entry, navigation, real-time feedback</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ML Classification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Random Forest (scikit-learn, n=2,455)</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Severe dengue risk probability with tree-ensemble CI</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ML Forecasting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Linear Regression (serial CBCs)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24-hour platelet forecast, R²=0.9945</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Trajectory Engine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NumPy OLS (linear + quadratic)</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Velocity, acceleration, time-to-threshold countdowns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Severity Score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Rule-based composite (4 domains)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0–100 continuous severity with direction vector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OOD Detection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Diagonal Mahalanobis distance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Flag patients outside training distribution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CI Estimation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RF tree ensemble percentiles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95% confidence interval per prediction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Explainability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SHAP TreeExplainer (optional)</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Per-case feature attribution chart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OCR Extraction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Tesseract + pypdf + OpenCV</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Auto-extract CBC values from report images/PDFs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PDF Export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FPDF</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Full clinical report with all analytical outputs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Session State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Streamlit st.session_state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Multi-report tracking, form versioning, OCR staging</w:t>
            </w:r>
          </w:p>
        </w:tc>
      </w:tr>
    </w:tbl>
    <w:p>
      <w:pPr>
        <w:pBdr>
          <w:bottom w:val="single" w:color="2E75B6" w:sz="4" w:space="1"/>
        </w:pBdr>
        <w:spacing w:before="160" w:after="160"/>
      </w:pPr>
    </w:p>
    <w:p>
      <w:pPr>
        <w:pStyle w:val="Heading1"/>
        <w:spacing w:before="300" w:after="100"/>
      </w:pPr>
      <w:r>
        <w:rPr>
          <w:rFonts w:ascii="Arial" w:cs="Arial" w:eastAsia="Arial" w:hAnsi="Arial"/>
          <w:b/>
          <w:bCs/>
          <w:color w:val="1A3A6B"/>
          <w:sz w:val="36"/>
          <w:szCs w:val="36"/>
        </w:rPr>
        <w:t xml:space="preserve">3.  Workflow: How to Use the CDSS</w:t>
      </w:r>
    </w:p>
    <w:p>
      <w:pPr>
        <w:pStyle w:val="Heading3"/>
        <w:spacing w:before="180" w:after="100"/>
      </w:pPr>
      <w:r>
        <w:rPr>
          <w:rFonts w:ascii="Arial" w:cs="Arial" w:eastAsia="Arial" w:hAnsi="Arial"/>
          <w:b/>
          <w:bCs/>
          <w:color w:val="1F6B9A"/>
          <w:sz w:val="24"/>
          <w:szCs w:val="24"/>
        </w:rPr>
        <w:t xml:space="preserve">Standard 5-Step Workflow</w:t>
      </w:r>
    </w:p>
    <w:p>
      <w:pPr>
        <w:pStyle w:val="ListParagraph"/>
        <w:numPr>
          <w:ilvl w:val="0"/>
          <w:numId w:val="3"/>
        </w:numPr>
        <w:spacing w:before="80" w:after="80"/>
      </w:pPr>
      <w:r>
        <w:rPr>
          <w:rFonts w:ascii="Arial" w:cs="Arial" w:eastAsia="Arial" w:hAnsi="Arial"/>
          <w:color w:val="333333"/>
          <w:sz w:val="22"/>
          <w:szCs w:val="22"/>
        </w:rPr>
        <w:t xml:space="preserve">Enter Patient Demographics: In the sidebar, enter Patient Name, Age, and Sex. These persist across all reports and appear in the PDF export.</w:t>
      </w:r>
    </w:p>
    <w:p>
      <w:pPr>
        <w:pStyle w:val="ListParagraph"/>
        <w:numPr>
          <w:ilvl w:val="0"/>
          <w:numId w:val="3"/>
        </w:numPr>
        <w:spacing w:before="80" w:after="80"/>
      </w:pPr>
      <w:r>
        <w:rPr>
          <w:rFonts w:ascii="Arial" w:cs="Arial" w:eastAsia="Arial" w:hAnsi="Arial"/>
          <w:color w:val="333333"/>
          <w:sz w:val="22"/>
          <w:szCs w:val="22"/>
        </w:rPr>
        <w:t xml:space="preserve">Upload or Enter Report Data: Upload CBC/vitals reports (JPG, PNG, PDF) via Bulk Upload, or select Report A and enter values manually. For each report: fill Date/Time, CBC values, Haemodynamics, optional Urine Output, WHO warning signs, and Symptoms.</w:t>
      </w:r>
    </w:p>
    <w:p>
      <w:pPr>
        <w:pStyle w:val="ListParagraph"/>
        <w:numPr>
          <w:ilvl w:val="0"/>
          <w:numId w:val="3"/>
        </w:numPr>
        <w:spacing w:before="80" w:after="80"/>
      </w:pPr>
      <w:r>
        <w:rPr>
          <w:rFonts w:ascii="Arial" w:cs="Arial" w:eastAsia="Arial" w:hAnsi="Arial"/>
          <w:color w:val="333333"/>
          <w:sz w:val="22"/>
          <w:szCs w:val="22"/>
        </w:rPr>
        <w:t xml:space="preserve">Save Report Data: Click Save Report Data after entering each report. This commits the data. The analysis dashboard will not reflect unsaved changes.</w:t>
      </w:r>
    </w:p>
    <w:p>
      <w:pPr>
        <w:pStyle w:val="ListParagraph"/>
        <w:numPr>
          <w:ilvl w:val="0"/>
          <w:numId w:val="3"/>
        </w:numPr>
        <w:spacing w:before="80" w:after="80"/>
      </w:pPr>
      <w:r>
        <w:rPr>
          <w:rFonts w:ascii="Arial" w:cs="Arial" w:eastAsia="Arial" w:hAnsi="Arial"/>
          <w:color w:val="333333"/>
          <w:sz w:val="22"/>
          <w:szCs w:val="22"/>
        </w:rPr>
        <w:t xml:space="preserve">Run Analysis: After saving all reports, click RUN ANALYSIS in the sidebar. This generates the full clinical dashboard including severity score, serial alerts, WHO classification, trajectory countdowns, risk assessment with CI, personal baseline deltas, discharge checklist, and clinical recommendations.</w:t>
      </w:r>
    </w:p>
    <w:p>
      <w:pPr>
        <w:pStyle w:val="ListParagraph"/>
        <w:numPr>
          <w:ilvl w:val="0"/>
          <w:numId w:val="3"/>
        </w:numPr>
        <w:spacing w:before="80" w:after="80"/>
      </w:pPr>
      <w:r>
        <w:rPr>
          <w:rFonts w:ascii="Arial" w:cs="Arial" w:eastAsia="Arial" w:hAnsi="Arial"/>
          <w:color w:val="333333"/>
          <w:sz w:val="22"/>
          <w:szCs w:val="22"/>
        </w:rPr>
        <w:t xml:space="preserve">Re-verify and Export: To update any report, return to that report tab, edit values, and click Save Report Data again. Then click RUN ANALYSIS to refresh all outputs. When satisfied, click Download Full Clinical Report to export a PDF.</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3"/>
              <w:left w:val="single" w:color="C0392B" w:sz="8"/>
              <w:bottom w:val="single" w:color="C0392B" w:sz="3"/>
              <w:right w:val="single" w:color="C0392B" w:sz="3"/>
            </w:tcBorders>
            <w:shd w:fill="F8FBFF" w:val="clear"/>
            <w:tcMar>
              <w:top w:type="dxa" w:w="120"/>
              <w:left w:type="dxa" w:w="200"/>
              <w:bottom w:type="dxa" w:w="120"/>
              <w:right w:type="dxa" w:w="200"/>
            </w:tcMar>
          </w:tcPr>
          <w:p>
            <w:pPr>
              <w:spacing w:before="40" w:after="80"/>
            </w:pPr>
            <w:r>
              <w:rPr>
                <w:rFonts w:ascii="Arial" w:cs="Arial" w:eastAsia="Arial" w:hAnsi="Arial"/>
                <w:b/>
                <w:bCs/>
                <w:color w:val="C0392B"/>
                <w:sz w:val="22"/>
                <w:szCs w:val="22"/>
              </w:rPr>
              <w:t xml:space="preserve">Critical: Save Before Analysis</w:t>
            </w:r>
          </w:p>
          <w:p>
            <w:pPr>
              <w:spacing w:before="40" w:after="40"/>
            </w:pPr>
            <w:r>
              <w:rPr>
                <w:rFonts w:ascii="Arial" w:cs="Arial" w:eastAsia="Arial" w:hAnsi="Arial"/>
                <w:color w:val="444444"/>
                <w:sz w:val="20"/>
                <w:szCs w:val="20"/>
              </w:rPr>
              <w:t xml:space="preserve">The analysis always reflects the last saved state of each report.</w:t>
            </w:r>
          </w:p>
          <w:p>
            <w:pPr>
              <w:spacing w:before="40" w:after="40"/>
            </w:pPr>
            <w:r>
              <w:rPr>
                <w:rFonts w:ascii="Arial" w:cs="Arial" w:eastAsia="Arial" w:hAnsi="Arial"/>
                <w:color w:val="444444"/>
                <w:sz w:val="20"/>
                <w:szCs w:val="20"/>
              </w:rPr>
              <w:t xml:space="preserve">Modifying a field in the form without clicking Save Report Data will NOT update the analysis.</w:t>
            </w:r>
          </w:p>
          <w:p>
            <w:pPr>
              <w:spacing w:before="40" w:after="40"/>
            </w:pPr>
            <w:r>
              <w:rPr>
                <w:rFonts w:ascii="Arial" w:cs="Arial" w:eastAsia="Arial" w:hAnsi="Arial"/>
                <w:color w:val="444444"/>
                <w:sz w:val="20"/>
                <w:szCs w:val="20"/>
              </w:rPr>
              <w:t xml:space="preserve">This is intentional: it prevents partial states from generating misleading outputs.</w:t>
            </w:r>
          </w:p>
          <w:p>
            <w:pPr>
              <w:spacing w:before="40" w:after="40"/>
            </w:pPr>
            <w:r>
              <w:rPr>
                <w:rFonts w:ascii="Arial" w:cs="Arial" w:eastAsia="Arial" w:hAnsi="Arial"/>
                <w:color w:val="444444"/>
                <w:sz w:val="20"/>
                <w:szCs w:val="20"/>
              </w:rPr>
              <w:t xml:space="preserve">Always save each report before running or re-running analysis.</w:t>
            </w:r>
          </w:p>
        </w:tc>
      </w:tr>
    </w:tbl>
    <w:p>
      <w:pPr>
        <w:pBdr>
          <w:bottom w:val="single" w:color="2E75B6" w:sz="4" w:space="1"/>
        </w:pBdr>
        <w:spacing w:before="160" w:after="160"/>
      </w:pPr>
    </w:p>
    <w:p>
      <w:pPr>
        <w:pStyle w:val="Heading1"/>
        <w:spacing w:before="300" w:after="100"/>
      </w:pPr>
      <w:r>
        <w:rPr>
          <w:rFonts w:ascii="Arial" w:cs="Arial" w:eastAsia="Arial" w:hAnsi="Arial"/>
          <w:b/>
          <w:bCs/>
          <w:color w:val="1A3A6B"/>
          <w:sz w:val="36"/>
          <w:szCs w:val="36"/>
        </w:rPr>
        <w:t xml:space="preserve">4.  Module Reference: All Parameters Explained</w:t>
      </w:r>
    </w:p>
    <w:p>
      <w:pPr>
        <w:pStyle w:val="Heading2"/>
        <w:spacing w:before="300" w:after="100"/>
      </w:pPr>
      <w:r>
        <w:rPr>
          <w:rFonts w:ascii="Arial" w:cs="Arial" w:eastAsia="Arial" w:hAnsi="Arial"/>
          <w:b/>
          <w:bCs/>
          <w:color w:val="2E75B6"/>
          <w:sz w:val="28"/>
          <w:szCs w:val="28"/>
        </w:rPr>
        <w:t xml:space="preserve">4.1  Laboratory Parameters (CBC)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9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Unit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Normal Range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Clinical Significance in Dengue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Platelet Count (PLT)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cells/uL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150,000–400,000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Primary severity marker. Rapid decline (&gt;20k/24h) signals critical phase. &lt;20k = transfusion threshold. Trend is more important than absolute 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Haematocrit (Hct / PCV)</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 packed cell volume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Male 40–54%, Female 36–48%</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Rising Hct (+5% from baseline) = early plasma leakage. Rise +10% = severe WHO criterion. Falling Hct post-resuscitation = fluid overload.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Haemoglobin (Hb)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g/dL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Male 13.5–17.5, Female 12–15.5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Haemoconcentration confirms plasma leakage when Hct rises proportionally (Hb x 3 ≈ Hct rule).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Red Blood Cell Count (RBC)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million/uL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Male 4.5–5.9, Female 4.1–5.1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Used by ML model. Haemoconcentration increases RBC count proportionally with Hct.</w:t>
            </w:r>
          </w:p>
        </w:tc>
      </w:tr>
    </w:tbl>
    <w:p>
      <w:pPr>
        <w:spacing w:before="60" w:after="60"/>
      </w:pPr>
      <w:r>
        <w:t xml:space="preserve"> </w:t>
      </w:r>
    </w:p>
    <w:p>
      <w:pPr>
        <w:pStyle w:val="Heading2"/>
        <w:spacing w:before="300" w:after="100"/>
      </w:pPr>
      <w:r>
        <w:rPr>
          <w:rFonts w:ascii="Arial" w:cs="Arial" w:eastAsia="Arial" w:hAnsi="Arial"/>
          <w:b/>
          <w:bCs/>
          <w:color w:val="2E75B6"/>
          <w:sz w:val="28"/>
          <w:szCs w:val="28"/>
        </w:rPr>
        <w:t xml:space="preserve">4.2  Haemodynamic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Formula</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Threshold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Clinical Significance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Systolic BP (SBP)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Direct measurement [mmHg]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Normal &gt;90 mmHg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Hypotension is a late sign of shock in dengue. Pre-shock haemodynamic compromise detectable earlier via Shock Index.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Diastolic BP (DBP)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Direct measurement [mmHg]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Normal &gt;60 mmHg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Narrowing pulse pressure (SBP−DBP &lt;20) is an early indicator of impending shock.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Mean Arterial Pressure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DBP + (SBP−DBP)/3  [mmHg]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Critical &lt;65 mmHg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Organ perfusion pressure. MAP &lt;65 = inadequate perfusion to kidneys, liver, gut. WHO severe criterion.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Shock Index (SI)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HR / SBP  [dimensionless]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&gt;0.9 elevated, &gt;1.0 shock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Sensitive early marker of haemodynamic compromise. Rises before SBP falls. WHO severe criterion at SI ≥1.0 in context.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Pulse Pressure (PP)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SBP − DBP  [mmHg]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Critical ≤20 mmHg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PP &lt;20 = reduced stroke volume. Classic early sign of dengue shock syndrome (DSS).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Heart Rate (HR)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Direct measurement [bpm]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Tachycardia &gt;100 bpm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Compensatory response. With falling SBP, drives SI above 0.9/1.0 threshold.</w:t>
            </w:r>
          </w:p>
        </w:tc>
      </w:tr>
    </w:tbl>
    <w:p>
      <w:pPr>
        <w:spacing w:before="60" w:after="60"/>
      </w:pPr>
      <w:r>
        <w:t xml:space="preserve"> </w:t>
      </w:r>
    </w:p>
    <w:p>
      <w:pPr>
        <w:pStyle w:val="Heading2"/>
        <w:spacing w:before="300" w:after="100"/>
      </w:pPr>
      <w:r>
        <w:rPr>
          <w:rFonts w:ascii="Arial" w:cs="Arial" w:eastAsia="Arial" w:hAnsi="Arial"/>
          <w:b/>
          <w:bCs/>
          <w:color w:val="2E75B6"/>
          <w:sz w:val="28"/>
          <w:szCs w:val="28"/>
        </w:rPr>
        <w:t xml:space="preserve">4.3  Fluid Balance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400"/>
        <w:gridCol w:w="23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Parameter</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Formula</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Target</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Clinical Significance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Urine Output Rate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Volume (mL) / (Weight (kg) × Time (hrs))  [mL/kg/hr]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1.0–2.0 mL/kg/hr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&lt;0.5 = oliguria (hypovolemia/AKI). 0.5–1.0 = borderline low. 1–2 = normal. &gt;4 post-resuscitation = overload.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IV Maintenance (Holliday-Segar)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≤10kg: 4 mL/kg/hr; 11–20kg: 40+2×(wt−10); &gt;20kg: 60+1×(wt−20)  [mL/hr]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Adjusted per WHO group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Maintenance requirement. Group B: 5–7 mL/kg/hr. Group C: bolus 10–20 mL/kg over 15–30 min.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BMI</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Weight (kg) / Height (m)²</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18.5–24.9 normal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Used for fluid rate calculation and risk context. Obesity modifies fluid distribution volume.</w:t>
            </w:r>
          </w:p>
        </w:tc>
      </w:tr>
    </w:tbl>
    <w:p>
      <w:pPr>
        <w:pBdr>
          <w:bottom w:val="single" w:color="2E75B6" w:sz="4" w:space="1"/>
        </w:pBdr>
        <w:spacing w:before="160" w:after="160"/>
      </w:pPr>
    </w:p>
    <w:p>
      <w:pPr>
        <w:pStyle w:val="Heading1"/>
        <w:spacing w:before="300" w:after="100"/>
      </w:pPr>
      <w:r>
        <w:rPr>
          <w:rFonts w:ascii="Arial" w:cs="Arial" w:eastAsia="Arial" w:hAnsi="Arial"/>
          <w:b/>
          <w:bCs/>
          <w:color w:val="1A3A6B"/>
          <w:sz w:val="36"/>
          <w:szCs w:val="36"/>
        </w:rPr>
        <w:t xml:space="preserve">5.  Advanced Analytical Engines: Mathematics &amp; Logic</w:t>
      </w:r>
    </w:p>
    <w:p>
      <w:pPr>
        <w:pStyle w:val="Heading2"/>
        <w:spacing w:before="300" w:after="100"/>
      </w:pPr>
      <w:r>
        <w:rPr>
          <w:rFonts w:ascii="Arial" w:cs="Arial" w:eastAsia="Arial" w:hAnsi="Arial"/>
          <w:b/>
          <w:bCs/>
          <w:color w:val="2E75B6"/>
          <w:sz w:val="28"/>
          <w:szCs w:val="28"/>
        </w:rPr>
        <w:t xml:space="preserve">5.1  Trajectory Engine</w:t>
      </w:r>
    </w:p>
    <w:p>
      <w:pPr>
        <w:spacing w:before="80" w:after="80"/>
      </w:pPr>
      <w:r>
        <w:rPr>
          <w:rFonts w:ascii="Arial" w:cs="Arial" w:eastAsia="Arial" w:hAnsi="Arial"/>
          <w:b w:val="false"/>
          <w:bCs w:val="false"/>
          <w:i w:val="false"/>
          <w:iCs w:val="false"/>
          <w:color w:val="333333"/>
          <w:sz w:val="22"/>
          <w:szCs w:val="22"/>
        </w:rPr>
        <w:t xml:space="preserve">Dengue is a dynamical system with phase transitions. A single CBC snapshot is a photograph of a falling object — informative, but far less useful than knowing its velocity and acceleration. The trajectory engine computes these derivatives from serial measurements.</w:t>
      </w:r>
    </w:p>
    <w:p>
      <w:pPr>
        <w:spacing w:before="60" w:after="60"/>
      </w:pPr>
      <w:r>
        <w:t xml:space="preserve"> </w:t>
      </w:r>
    </w:p>
    <w:p>
      <w:pPr>
        <w:pStyle w:val="Heading3"/>
        <w:spacing w:before="180" w:after="100"/>
      </w:pPr>
      <w:r>
        <w:rPr>
          <w:rFonts w:ascii="Arial" w:cs="Arial" w:eastAsia="Arial" w:hAnsi="Arial"/>
          <w:b/>
          <w:bCs/>
          <w:color w:val="1F6B9A"/>
          <w:sz w:val="24"/>
          <w:szCs w:val="24"/>
        </w:rPr>
        <w:t xml:space="preserve">Linear Model (Velocity)</w:t>
      </w:r>
    </w:p>
    <w:p>
      <w:pPr>
        <w:spacing w:before="80" w:after="80"/>
      </w:pPr>
      <w:r>
        <w:rPr>
          <w:rFonts w:ascii="Arial" w:cs="Arial" w:eastAsia="Arial" w:hAnsi="Arial"/>
          <w:b w:val="false"/>
          <w:bCs w:val="false"/>
          <w:i w:val="false"/>
          <w:iCs w:val="false"/>
          <w:color w:val="333333"/>
          <w:sz w:val="22"/>
          <w:szCs w:val="22"/>
        </w:rPr>
        <w:t xml:space="preserve">Given n serial measurements (tᵢ, xᵢ) where tᵢ is days from first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8"/>
              <w:bottom w:val="single" w:color="2E75B6" w:sz="3"/>
              <w:right w:val="single" w:color="2E75B6" w:sz="3"/>
            </w:tcBorders>
            <w:shd w:fill="F8FBFF" w:val="clear"/>
            <w:tcMar>
              <w:top w:type="dxa" w:w="120"/>
              <w:left w:type="dxa" w:w="200"/>
              <w:bottom w:type="dxa" w:w="120"/>
              <w:right w:type="dxa" w:w="200"/>
            </w:tcMar>
          </w:tcPr>
          <w:p>
            <w:pPr>
              <w:spacing w:before="40" w:after="80"/>
            </w:pPr>
            <w:r>
              <w:rPr>
                <w:rFonts w:ascii="Arial" w:cs="Arial" w:eastAsia="Arial" w:hAnsi="Arial"/>
                <w:b/>
                <w:bCs/>
                <w:color w:val="2E75B6"/>
                <w:sz w:val="22"/>
                <w:szCs w:val="22"/>
              </w:rPr>
              <w:t xml:space="preserve">Linear OLS Fit</w:t>
            </w:r>
          </w:p>
          <w:p>
            <w:pPr>
              <w:spacing w:before="40" w:after="40"/>
            </w:pPr>
            <w:r>
              <w:rPr>
                <w:rFonts w:ascii="Arial" w:cs="Arial" w:eastAsia="Arial" w:hAnsi="Arial"/>
                <w:color w:val="444444"/>
                <w:sz w:val="20"/>
                <w:szCs w:val="20"/>
              </w:rPr>
              <w:t xml:space="preserve">Model:      x = a + b·t       (OLS: coefficients = (AᵀA)⁻¹ Aᵀ x   where A = [1, t])</w:t>
            </w:r>
          </w:p>
          <w:p>
            <w:pPr>
              <w:spacing w:before="40" w:after="40"/>
            </w:pPr>
            <w:r>
              <w:rPr>
                <w:rFonts w:ascii="Arial" w:cs="Arial" w:eastAsia="Arial" w:hAnsi="Arial"/>
                <w:color w:val="444444"/>
                <w:sz w:val="20"/>
                <w:szCs w:val="20"/>
              </w:rPr>
              <w:t xml:space="preserve">Velocity  = b     [units/day]   — the first derivative dx/dt</w:t>
            </w:r>
          </w:p>
          <w:p>
            <w:pPr>
              <w:spacing w:before="40" w:after="40"/>
            </w:pPr>
            <w:r>
              <w:rPr>
                <w:rFonts w:ascii="Arial" w:cs="Arial" w:eastAsia="Arial" w:hAnsi="Arial"/>
                <w:color w:val="444444"/>
                <w:sz w:val="20"/>
                <w:szCs w:val="20"/>
              </w:rPr>
              <w:t xml:space="preserve">R² linear = 1 − SS_residuals / SS_total</w:t>
            </w:r>
          </w:p>
        </w:tc>
      </w:tr>
    </w:tbl>
    <w:p>
      <w:pPr>
        <w:spacing w:before="60" w:after="60"/>
      </w:pPr>
      <w:r>
        <w:t xml:space="preserve"> </w:t>
      </w:r>
    </w:p>
    <w:p>
      <w:pPr>
        <w:pStyle w:val="Heading3"/>
        <w:spacing w:before="180" w:after="100"/>
      </w:pPr>
      <w:r>
        <w:rPr>
          <w:rFonts w:ascii="Arial" w:cs="Arial" w:eastAsia="Arial" w:hAnsi="Arial"/>
          <w:b/>
          <w:bCs/>
          <w:color w:val="1F6B9A"/>
          <w:sz w:val="24"/>
          <w:szCs w:val="24"/>
        </w:rPr>
        <w:t xml:space="preserve">Quadratic Model (Acceleration)</w:t>
      </w:r>
    </w:p>
    <w:p>
      <w:pPr>
        <w:spacing w:before="80" w:after="80"/>
      </w:pPr>
      <w:r>
        <w:rPr>
          <w:rFonts w:ascii="Arial" w:cs="Arial" w:eastAsia="Arial" w:hAnsi="Arial"/>
          <w:b w:val="false"/>
          <w:bCs w:val="false"/>
          <w:i w:val="false"/>
          <w:iCs w:val="false"/>
          <w:color w:val="333333"/>
          <w:sz w:val="22"/>
          <w:szCs w:val="22"/>
        </w:rPr>
        <w:t xml:space="preserve">With n ≥ 3 reports, a quadratic fit detects whether decline is accelerating or decelerating: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6B9A" w:sz="3"/>
              <w:left w:val="single" w:color="1F6B9A" w:sz="8"/>
              <w:bottom w:val="single" w:color="1F6B9A" w:sz="3"/>
              <w:right w:val="single" w:color="1F6B9A" w:sz="3"/>
            </w:tcBorders>
            <w:shd w:fill="F8FBFF" w:val="clear"/>
            <w:tcMar>
              <w:top w:type="dxa" w:w="120"/>
              <w:left w:type="dxa" w:w="200"/>
              <w:bottom w:type="dxa" w:w="120"/>
              <w:right w:type="dxa" w:w="200"/>
            </w:tcMar>
          </w:tcPr>
          <w:p>
            <w:pPr>
              <w:spacing w:before="40" w:after="80"/>
            </w:pPr>
            <w:r>
              <w:rPr>
                <w:rFonts w:ascii="Arial" w:cs="Arial" w:eastAsia="Arial" w:hAnsi="Arial"/>
                <w:b/>
                <w:bCs/>
                <w:color w:val="1F6B9A"/>
                <w:sz w:val="22"/>
                <w:szCs w:val="22"/>
              </w:rPr>
              <w:t xml:space="preserve">Quadratic OLS Fit</w:t>
            </w:r>
          </w:p>
          <w:p>
            <w:pPr>
              <w:spacing w:before="40" w:after="40"/>
            </w:pPr>
            <w:r>
              <w:rPr>
                <w:rFonts w:ascii="Arial" w:cs="Arial" w:eastAsia="Arial" w:hAnsi="Arial"/>
                <w:color w:val="444444"/>
                <w:sz w:val="20"/>
                <w:szCs w:val="20"/>
              </w:rPr>
              <w:t xml:space="preserve">Model:          x = a + b·t + c·t²</w:t>
            </w:r>
          </w:p>
          <w:p>
            <w:pPr>
              <w:spacing w:before="40" w:after="40"/>
            </w:pPr>
            <w:r>
              <w:rPr>
                <w:rFonts w:ascii="Arial" w:cs="Arial" w:eastAsia="Arial" w:hAnsi="Arial"/>
                <w:color w:val="444444"/>
                <w:sz w:val="20"/>
                <w:szCs w:val="20"/>
              </w:rPr>
              <w:t xml:space="preserve">Acceleration = 2c     [units/day²]   — the second derivative d²x/dt²</w:t>
            </w:r>
          </w:p>
          <w:p>
            <w:pPr>
              <w:spacing w:before="40" w:after="40"/>
            </w:pPr>
            <w:r>
              <w:rPr>
                <w:rFonts w:ascii="Arial" w:cs="Arial" w:eastAsia="Arial" w:hAnsi="Arial"/>
                <w:color w:val="444444"/>
                <w:sz w:val="20"/>
                <w:szCs w:val="20"/>
              </w:rPr>
              <w:t xml:space="preserve">A strongly negative 2c (e.g., −10,000 cells/day²) indicates the platelet crash is worsening faster than velocity alone suggests.</w:t>
            </w:r>
          </w:p>
        </w:tc>
      </w:tr>
    </w:tbl>
    <w:p>
      <w:pPr>
        <w:spacing w:before="60" w:after="60"/>
      </w:pPr>
      <w:r>
        <w:t xml:space="preserve"> </w:t>
      </w:r>
    </w:p>
    <w:p>
      <w:pPr>
        <w:pStyle w:val="Heading3"/>
        <w:spacing w:before="180" w:after="100"/>
      </w:pPr>
      <w:r>
        <w:rPr>
          <w:rFonts w:ascii="Arial" w:cs="Arial" w:eastAsia="Arial" w:hAnsi="Arial"/>
          <w:b/>
          <w:bCs/>
          <w:color w:val="1F6B9A"/>
          <w:sz w:val="24"/>
          <w:szCs w:val="24"/>
        </w:rPr>
        <w:t xml:space="preserve">Time-to-Threshold Countdown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3"/>
              <w:left w:val="single" w:color="C0392B" w:sz="8"/>
              <w:bottom w:val="single" w:color="C0392B" w:sz="3"/>
              <w:right w:val="single" w:color="C0392B" w:sz="3"/>
            </w:tcBorders>
            <w:shd w:fill="F8FBFF" w:val="clear"/>
            <w:tcMar>
              <w:top w:type="dxa" w:w="120"/>
              <w:left w:type="dxa" w:w="200"/>
              <w:bottom w:type="dxa" w:w="120"/>
              <w:right w:type="dxa" w:w="200"/>
            </w:tcMar>
          </w:tcPr>
          <w:p>
            <w:pPr>
              <w:spacing w:before="40" w:after="80"/>
            </w:pPr>
            <w:r>
              <w:rPr>
                <w:rFonts w:ascii="Arial" w:cs="Arial" w:eastAsia="Arial" w:hAnsi="Arial"/>
                <w:b/>
                <w:bCs/>
                <w:color w:val="C0392B"/>
                <w:sz w:val="22"/>
                <w:szCs w:val="22"/>
              </w:rPr>
              <w:t xml:space="preserve">Countdown Formula</w:t>
            </w:r>
          </w:p>
          <w:p>
            <w:pPr>
              <w:spacing w:before="40" w:after="40"/>
            </w:pPr>
            <w:r>
              <w:rPr>
                <w:rFonts w:ascii="Arial" w:cs="Arial" w:eastAsia="Arial" w:hAnsi="Arial"/>
                <w:color w:val="444444"/>
                <w:sz w:val="20"/>
                <w:szCs w:val="20"/>
              </w:rPr>
              <w:t xml:space="preserve">t* = (θ − x_current) / velocity     [days]   × 24 = hours</w:t>
            </w:r>
          </w:p>
          <w:p>
            <w:pPr>
              <w:spacing w:before="40" w:after="40"/>
            </w:pPr>
            <w:r>
              <w:rPr>
                <w:rFonts w:ascii="Arial" w:cs="Arial" w:eastAsia="Arial" w:hAnsi="Arial"/>
                <w:color w:val="444444"/>
                <w:sz w:val="20"/>
                <w:szCs w:val="20"/>
              </w:rPr>
              <w:t xml:space="preserve">where θ = critical threshold (e.g., PLT = 20,000 or SI = 1.0)</w:t>
            </w:r>
          </w:p>
          <w:p>
            <w:pPr>
              <w:spacing w:before="40" w:after="40"/>
            </w:pPr>
            <w:r>
              <w:rPr>
                <w:rFonts w:ascii="Arial" w:cs="Arial" w:eastAsia="Arial" w:hAnsi="Arial"/>
                <w:color w:val="444444"/>
                <w:sz w:val="20"/>
                <w:szCs w:val="20"/>
              </w:rPr>
              <w:t xml:space="preserve">Shown only when trajectory is heading toward threshold and t* is within 168 hours (7 days).</w:t>
            </w:r>
          </w:p>
          <w:p>
            <w:pPr>
              <w:spacing w:before="40" w:after="40"/>
            </w:pPr>
            <w:r>
              <w:rPr>
                <w:rFonts w:ascii="Arial" w:cs="Arial" w:eastAsia="Arial" w:hAnsi="Arial"/>
                <w:color w:val="444444"/>
                <w:sz w:val="20"/>
                <w:szCs w:val="20"/>
              </w:rPr>
              <w:t xml:space="preserve">Clinical use: schedule next CBC, alert blood bank, time transfusion preparation.</w:t>
            </w:r>
          </w:p>
        </w:tc>
      </w:tr>
    </w:tbl>
    <w:p>
      <w:pPr>
        <w:spacing w:before="60" w:after="60"/>
      </w:pPr>
      <w:r>
        <w:t xml:space="preserve"> </w:t>
      </w:r>
    </w:p>
    <w:p>
      <w:pPr>
        <w:pStyle w:val="Heading2"/>
        <w:spacing w:before="300" w:after="100"/>
      </w:pPr>
      <w:r>
        <w:rPr>
          <w:rFonts w:ascii="Arial" w:cs="Arial" w:eastAsia="Arial" w:hAnsi="Arial"/>
          <w:b/>
          <w:bCs/>
          <w:color w:val="2E75B6"/>
          <w:sz w:val="28"/>
          <w:szCs w:val="28"/>
        </w:rPr>
        <w:t xml:space="preserve">5.2  Continuous Severity Score (0–100)</w:t>
      </w:r>
    </w:p>
    <w:p>
      <w:pPr>
        <w:spacing w:before="80" w:after="80"/>
      </w:pPr>
      <w:r>
        <w:rPr>
          <w:rFonts w:ascii="Arial" w:cs="Arial" w:eastAsia="Arial" w:hAnsi="Arial"/>
          <w:b w:val="false"/>
          <w:bCs w:val="false"/>
          <w:i w:val="false"/>
          <w:iCs w:val="false"/>
          <w:color w:val="333333"/>
          <w:sz w:val="22"/>
          <w:szCs w:val="22"/>
        </w:rPr>
        <w:t xml:space="preserve">The WHO A/B/C classification discretises a continuous physiological spectrum. A patient with SI=0.89 and one with SI=0.91 receive different management tiers despite being nearly identical physiologically. The severity score provides a continuous 0–100 index across four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40"/>
        <w:gridCol w:w="592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Domain</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Max Points</w:t>
            </w:r>
          </w:p>
        </w:tc>
        <w:tc>
          <w:tcPr>
            <w:tcW w:type="dxa" w:w="59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Calculation Logic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Haematological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40 pts</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PLT: ≥150k=0, 100–150k=10, 50–100k=25, 20–50k=35, &lt;20k=40; plus Hct deviation from 40% baseline (capped at 10 pts)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Haemodynamic</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30 pts</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SI: &lt;0.9=0, 0.9–1.0=10, 1.0–1.2=15, ≥1.2=20; MAP: ≥70=0, 65–70=3, 60–65=7, &lt;60=10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Trend Velocity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20 pts</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PLT velocity: &gt;-5k/day=0, −5k to −20k=4, −20 to −50k=8, &lt;−50k=12; Hct velocity: &lt;2/day=0, 2–5=4, &gt;5=8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Urine Output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10 pts</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Not recorded=0 (neutral); &lt;0.5=10; 0.5–1.0=6; 1.0–2.0=0; 2.0–4.0=1; &gt;4.0=4</w:t>
            </w:r>
          </w:p>
        </w:tc>
      </w:tr>
    </w:tbl>
    <w:p>
      <w:pPr>
        <w:spacing w:before="60" w:after="60"/>
      </w:pPr>
      <w:r>
        <w:t xml:space="preserve"> </w:t>
      </w:r>
    </w:p>
    <w:p>
      <w:pPr>
        <w:spacing w:before="80" w:after="80"/>
      </w:pPr>
      <w:r>
        <w:rPr>
          <w:rFonts w:ascii="Arial" w:cs="Arial" w:eastAsia="Arial" w:hAnsi="Arial"/>
          <w:b w:val="false"/>
          <w:bCs w:val="false"/>
          <w:i w:val="false"/>
          <w:iCs w:val="false"/>
          <w:color w:val="333333"/>
          <w:sz w:val="22"/>
          <w:szCs w:val="22"/>
        </w:rPr>
        <w:t xml:space="preserve">Direction vector: compare current score to previous report score. Δ ≤ −5 = Improving; −5 to +2 = Stable; +2 to +8 = Deteriorating; &gt;+8 = Rapidly Deteriorating.</w:t>
      </w:r>
    </w:p>
    <w:p>
      <w:pPr>
        <w:spacing w:before="60" w:after="60"/>
      </w:pPr>
      <w:r>
        <w:t xml:space="preserve"> </w:t>
      </w:r>
    </w:p>
    <w:p>
      <w:pPr>
        <w:pStyle w:val="Heading2"/>
        <w:spacing w:before="300" w:after="100"/>
      </w:pPr>
      <w:r>
        <w:rPr>
          <w:rFonts w:ascii="Arial" w:cs="Arial" w:eastAsia="Arial" w:hAnsi="Arial"/>
          <w:b/>
          <w:bCs/>
          <w:color w:val="2E75B6"/>
          <w:sz w:val="28"/>
          <w:szCs w:val="28"/>
        </w:rPr>
        <w:t xml:space="preserve">5.3  Personal Baseline Delta Analysis</w:t>
      </w:r>
    </w:p>
    <w:p>
      <w:pPr>
        <w:spacing w:before="80" w:after="80"/>
      </w:pPr>
      <w:r>
        <w:rPr>
          <w:rFonts w:ascii="Arial" w:cs="Arial" w:eastAsia="Arial" w:hAnsi="Arial"/>
          <w:b w:val="false"/>
          <w:bCs w:val="false"/>
          <w:i w:val="false"/>
          <w:iCs w:val="false"/>
          <w:color w:val="333333"/>
          <w:sz w:val="22"/>
          <w:szCs w:val="22"/>
        </w:rPr>
        <w:t xml:space="preserve">Population reference ranges are averages over heterogeneous groups. An athlete with normal Hb 17 g/dL will show Hb 14 g/dL after plasma leakage — normal by reference range but an 18% personal decline. The personal baseline analysis uses the patient’s own first report as the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8"/>
              <w:bottom w:val="single" w:color="2E75B6" w:sz="3"/>
              <w:right w:val="single" w:color="2E75B6" w:sz="3"/>
            </w:tcBorders>
            <w:shd w:fill="F8FBFF" w:val="clear"/>
            <w:tcMar>
              <w:top w:type="dxa" w:w="120"/>
              <w:left w:type="dxa" w:w="200"/>
              <w:bottom w:type="dxa" w:w="120"/>
              <w:right w:type="dxa" w:w="200"/>
            </w:tcMar>
          </w:tcPr>
          <w:p>
            <w:pPr>
              <w:spacing w:before="40" w:after="80"/>
            </w:pPr>
            <w:r>
              <w:rPr>
                <w:rFonts w:ascii="Arial" w:cs="Arial" w:eastAsia="Arial" w:hAnsi="Arial"/>
                <w:b/>
                <w:bCs/>
                <w:color w:val="2E75B6"/>
                <w:sz w:val="22"/>
                <w:szCs w:val="22"/>
              </w:rPr>
              <w:t xml:space="preserve">Personal Delta Formulae</w:t>
            </w:r>
          </w:p>
          <w:p>
            <w:pPr>
              <w:spacing w:before="40" w:after="40"/>
            </w:pPr>
            <w:r>
              <w:rPr>
                <w:rFonts w:ascii="Arial" w:cs="Arial" w:eastAsia="Arial" w:hAnsi="Arial"/>
                <w:color w:val="444444"/>
                <w:sz w:val="20"/>
                <w:szCs w:val="20"/>
              </w:rPr>
              <w:t xml:space="preserve">delta_abs = current_value − baseline_value</w:t>
            </w:r>
          </w:p>
          <w:p>
            <w:pPr>
              <w:spacing w:before="40" w:after="40"/>
            </w:pPr>
            <w:r>
              <w:rPr>
                <w:rFonts w:ascii="Arial" w:cs="Arial" w:eastAsia="Arial" w:hAnsi="Arial"/>
                <w:color w:val="444444"/>
                <w:sz w:val="20"/>
                <w:szCs w:val="20"/>
              </w:rPr>
              <w:t xml:space="preserve">delta_pct = (delta_abs / baseline_value) × 100</w:t>
            </w:r>
          </w:p>
          <w:p>
            <w:pPr>
              <w:spacing w:before="40" w:after="40"/>
            </w:pPr>
            <w:r>
              <w:rPr>
                <w:rFonts w:ascii="Arial" w:cs="Arial" w:eastAsia="Arial" w:hAnsi="Arial"/>
                <w:color w:val="444444"/>
                <w:sz w:val="20"/>
                <w:szCs w:val="20"/>
              </w:rPr>
              <w:t xml:space="preserve">Flag thresholds (percentage change from personal baseline):</w:t>
            </w:r>
          </w:p>
          <w:p>
            <w:pPr>
              <w:spacing w:before="40" w:after="40"/>
            </w:pPr>
            <w:r>
              <w:rPr>
                <w:rFonts w:ascii="Arial" w:cs="Arial" w:eastAsia="Arial" w:hAnsi="Arial"/>
                <w:color w:val="444444"/>
                <w:sz w:val="20"/>
                <w:szCs w:val="20"/>
              </w:rPr>
              <w:t xml:space="preserve">  Platelets: Warning ≤ −10%; Critical ≤ −20%</w:t>
            </w:r>
          </w:p>
          <w:p>
            <w:pPr>
              <w:spacing w:before="40" w:after="40"/>
            </w:pPr>
            <w:r>
              <w:rPr>
                <w:rFonts w:ascii="Arial" w:cs="Arial" w:eastAsia="Arial" w:hAnsi="Arial"/>
                <w:color w:val="444444"/>
                <w:sz w:val="20"/>
                <w:szCs w:val="20"/>
              </w:rPr>
              <w:t xml:space="preserve">  Haematocrit: Warning ≥ +5% (rising Hct = plasma leakage indicator)</w:t>
            </w:r>
          </w:p>
          <w:p>
            <w:pPr>
              <w:spacing w:before="40" w:after="40"/>
            </w:pPr>
            <w:r>
              <w:rPr>
                <w:rFonts w:ascii="Arial" w:cs="Arial" w:eastAsia="Arial" w:hAnsi="Arial"/>
                <w:color w:val="444444"/>
                <w:sz w:val="20"/>
                <w:szCs w:val="20"/>
              </w:rPr>
              <w:t xml:space="preserve">  Shock Index: Warning ≥ +20%</w:t>
            </w:r>
          </w:p>
          <w:p>
            <w:pPr>
              <w:spacing w:before="40" w:after="40"/>
            </w:pPr>
            <w:r>
              <w:rPr>
                <w:rFonts w:ascii="Arial" w:cs="Arial" w:eastAsia="Arial" w:hAnsi="Arial"/>
                <w:color w:val="444444"/>
                <w:sz w:val="20"/>
                <w:szCs w:val="20"/>
              </w:rPr>
              <w:t xml:space="preserve">Available when ≥ 2 reports are entered.</w:t>
            </w:r>
          </w:p>
        </w:tc>
      </w:tr>
    </w:tbl>
    <w:p>
      <w:pPr>
        <w:spacing w:before="60" w:after="60"/>
      </w:pPr>
      <w:r>
        <w:t xml:space="preserve"> </w:t>
      </w:r>
    </w:p>
    <w:p>
      <w:pPr>
        <w:pStyle w:val="Heading2"/>
        <w:spacing w:before="300" w:after="100"/>
      </w:pPr>
      <w:r>
        <w:rPr>
          <w:rFonts w:ascii="Arial" w:cs="Arial" w:eastAsia="Arial" w:hAnsi="Arial"/>
          <w:b/>
          <w:bCs/>
          <w:color w:val="2E75B6"/>
          <w:sz w:val="28"/>
          <w:szCs w:val="28"/>
        </w:rPr>
        <w:t xml:space="preserve">5.4  Out-of-Distribution (OOD) Detection</w:t>
      </w:r>
    </w:p>
    <w:p>
      <w:pPr>
        <w:spacing w:before="80" w:after="80"/>
      </w:pPr>
      <w:r>
        <w:rPr>
          <w:rFonts w:ascii="Arial" w:cs="Arial" w:eastAsia="Arial" w:hAnsi="Arial"/>
          <w:b w:val="false"/>
          <w:bCs w:val="false"/>
          <w:i w:val="false"/>
          <w:iCs w:val="false"/>
          <w:color w:val="333333"/>
          <w:sz w:val="22"/>
          <w:szCs w:val="22"/>
        </w:rPr>
        <w:t xml:space="preserve">The ML model was trained on n=2,455 patients from a specific geographic and temporal context. Extrapolation beyond this distribution produces predictions with false confidence. The OOD detector computes the diagonal Mahalanobis 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3"/>
              <w:left w:val="single" w:color="F39C12" w:sz="8"/>
              <w:bottom w:val="single" w:color="F39C12" w:sz="3"/>
              <w:right w:val="single" w:color="F39C12" w:sz="3"/>
            </w:tcBorders>
            <w:shd w:fill="F8FBFF" w:val="clear"/>
            <w:tcMar>
              <w:top w:type="dxa" w:w="120"/>
              <w:left w:type="dxa" w:w="200"/>
              <w:bottom w:type="dxa" w:w="120"/>
              <w:right w:type="dxa" w:w="200"/>
            </w:tcMar>
          </w:tcPr>
          <w:p>
            <w:pPr>
              <w:spacing w:before="40" w:after="80"/>
            </w:pPr>
            <w:r>
              <w:rPr>
                <w:rFonts w:ascii="Arial" w:cs="Arial" w:eastAsia="Arial" w:hAnsi="Arial"/>
                <w:b/>
                <w:bCs/>
                <w:color w:val="F39C12"/>
                <w:sz w:val="22"/>
                <w:szCs w:val="22"/>
              </w:rPr>
              <w:t xml:space="preserve">Mahalanobis Distance</w:t>
            </w:r>
          </w:p>
          <w:p>
            <w:pPr>
              <w:spacing w:before="40" w:after="40"/>
            </w:pPr>
            <w:r>
              <w:rPr>
                <w:rFonts w:ascii="Arial" w:cs="Arial" w:eastAsia="Arial" w:hAnsi="Arial"/>
                <w:color w:val="444444"/>
                <w:sz w:val="20"/>
                <w:szCs w:val="20"/>
              </w:rPr>
              <w:t xml:space="preserve">D = √( (1/k) × Σ zᵢ² )     where  zᵢ = (xᵢ − μᵢ) / σᵢ</w:t>
            </w:r>
          </w:p>
          <w:p>
            <w:pPr>
              <w:spacing w:before="40" w:after="40"/>
            </w:pPr>
            <w:r>
              <w:rPr>
                <w:rFonts w:ascii="Arial" w:cs="Arial" w:eastAsia="Arial" w:hAnsi="Arial"/>
                <w:color w:val="444444"/>
                <w:sz w:val="20"/>
                <w:szCs w:val="20"/>
              </w:rPr>
              <w:t xml:space="preserve">μᵢ and σᵢ = mean and standard deviation of feature i in the training data</w:t>
            </w:r>
          </w:p>
          <w:p>
            <w:pPr>
              <w:spacing w:before="40" w:after="40"/>
            </w:pPr>
            <w:r>
              <w:rPr>
                <w:rFonts w:ascii="Arial" w:cs="Arial" w:eastAsia="Arial" w:hAnsi="Arial"/>
                <w:color w:val="444444"/>
                <w:sz w:val="20"/>
                <w:szCs w:val="20"/>
              </w:rPr>
              <w:t xml:space="preserve">k = number of features evaluated</w:t>
            </w:r>
          </w:p>
          <w:p>
            <w:pPr>
              <w:spacing w:before="40" w:after="40"/>
            </w:pPr>
            <w:r>
              <w:rPr>
                <w:rFonts w:ascii="Arial" w:cs="Arial" w:eastAsia="Arial" w:hAnsi="Arial"/>
                <w:color w:val="444444"/>
                <w:sz w:val="20"/>
                <w:szCs w:val="20"/>
              </w:rPr>
              <w:t xml:space="preserve">D &gt; 2.5 triggers OOD warning; top 3 outlier features (by |z|) displayed</w:t>
            </w:r>
          </w:p>
          <w:p>
            <w:pPr>
              <w:spacing w:before="40" w:after="40"/>
            </w:pPr>
            <w:r>
              <w:rPr>
                <w:rFonts w:ascii="Arial" w:cs="Arial" w:eastAsia="Arial" w:hAnsi="Arial"/>
                <w:color w:val="444444"/>
                <w:sz w:val="20"/>
                <w:szCs w:val="20"/>
              </w:rPr>
              <w:t xml:space="preserve">Typical triggers: extreme age, atypical CBC patterns, comorbidity-confounded vitals</w:t>
            </w:r>
          </w:p>
          <w:p>
            <w:pPr>
              <w:spacing w:before="40" w:after="40"/>
            </w:pPr>
            <w:r>
              <w:rPr>
                <w:rFonts w:ascii="Arial" w:cs="Arial" w:eastAsia="Arial" w:hAnsi="Arial"/>
                <w:color w:val="444444"/>
                <w:sz w:val="20"/>
                <w:szCs w:val="20"/>
              </w:rPr>
              <w:t xml:space="preserve">Clinical implication: when OOD flagged, prediction CI widens and clinical judgment should dominate</w:t>
            </w:r>
          </w:p>
        </w:tc>
      </w:tr>
    </w:tbl>
    <w:p>
      <w:pPr>
        <w:spacing w:before="60" w:after="60"/>
      </w:pPr>
      <w:r>
        <w:t xml:space="preserve"> </w:t>
      </w:r>
    </w:p>
    <w:p>
      <w:pPr>
        <w:pStyle w:val="Heading2"/>
        <w:spacing w:before="300" w:after="100"/>
      </w:pPr>
      <w:r>
        <w:rPr>
          <w:rFonts w:ascii="Arial" w:cs="Arial" w:eastAsia="Arial" w:hAnsi="Arial"/>
          <w:b/>
          <w:bCs/>
          <w:color w:val="2E75B6"/>
          <w:sz w:val="28"/>
          <w:szCs w:val="28"/>
        </w:rPr>
        <w:t xml:space="preserve">5.5  Random Forest Confidence Interval</w:t>
      </w:r>
    </w:p>
    <w:p>
      <w:pPr>
        <w:spacing w:before="80" w:after="80"/>
      </w:pPr>
      <w:r>
        <w:rPr>
          <w:rFonts w:ascii="Arial" w:cs="Arial" w:eastAsia="Arial" w:hAnsi="Arial"/>
          <w:b w:val="false"/>
          <w:bCs w:val="false"/>
          <w:i w:val="false"/>
          <w:iCs w:val="false"/>
          <w:color w:val="333333"/>
          <w:sz w:val="22"/>
          <w:szCs w:val="22"/>
        </w:rPr>
        <w:t xml:space="preserve">A standard RF outputs one probability by averaging trees. This point estimate does not reveal whether trees agree or disagree. If 200 trees vote 0.05–0.08 (narrow, high agreement), the prediction is reliable. If trees vote 0.15–0.85, the same point estimate of 0.50 is nearly meaningless.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8"/>
              <w:bottom w:val="single" w:color="2E75B6" w:sz="3"/>
              <w:right w:val="single" w:color="2E75B6" w:sz="3"/>
            </w:tcBorders>
            <w:shd w:fill="F8FBFF" w:val="clear"/>
            <w:tcMar>
              <w:top w:type="dxa" w:w="120"/>
              <w:left w:type="dxa" w:w="200"/>
              <w:bottom w:type="dxa" w:w="120"/>
              <w:right w:type="dxa" w:w="200"/>
            </w:tcMar>
          </w:tcPr>
          <w:p>
            <w:pPr>
              <w:spacing w:before="40" w:after="80"/>
            </w:pPr>
            <w:r>
              <w:rPr>
                <w:rFonts w:ascii="Arial" w:cs="Arial" w:eastAsia="Arial" w:hAnsi="Arial"/>
                <w:b/>
                <w:bCs/>
                <w:color w:val="2E75B6"/>
                <w:sz w:val="22"/>
                <w:szCs w:val="22"/>
              </w:rPr>
              <w:t xml:space="preserve">95% CI from Tree Ensemble</w:t>
            </w:r>
          </w:p>
          <w:p>
            <w:pPr>
              <w:spacing w:before="40" w:after="40"/>
            </w:pPr>
            <w:r>
              <w:rPr>
                <w:rFonts w:ascii="Arial" w:cs="Arial" w:eastAsia="Arial" w:hAnsi="Arial"/>
                <w:color w:val="444444"/>
                <w:sz w:val="20"/>
                <w:szCs w:val="20"/>
              </w:rPr>
              <w:t xml:space="preserve">For each tree t in RF:   prob_t = tree_t.predict_proba(x)[class=1]</w:t>
            </w:r>
          </w:p>
          <w:p>
            <w:pPr>
              <w:spacing w:before="40" w:after="40"/>
            </w:pPr>
            <w:r>
              <w:rPr>
                <w:rFonts w:ascii="Arial" w:cs="Arial" w:eastAsia="Arial" w:hAnsi="Arial"/>
                <w:color w:val="444444"/>
                <w:sz w:val="20"/>
                <w:szCs w:val="20"/>
              </w:rPr>
              <w:t xml:space="preserve">CI_lower = percentile(2.5,   {prob_1, ..., prob_T})</w:t>
            </w:r>
          </w:p>
          <w:p>
            <w:pPr>
              <w:spacing w:before="40" w:after="40"/>
            </w:pPr>
            <w:r>
              <w:rPr>
                <w:rFonts w:ascii="Arial" w:cs="Arial" w:eastAsia="Arial" w:hAnsi="Arial"/>
                <w:color w:val="444444"/>
                <w:sz w:val="20"/>
                <w:szCs w:val="20"/>
              </w:rPr>
              <w:t xml:space="preserve">CI_upper = percentile(97.5,  {prob_1, ..., prob_T})</w:t>
            </w:r>
          </w:p>
          <w:p>
            <w:pPr>
              <w:spacing w:before="40" w:after="40"/>
            </w:pPr>
            <w:r>
              <w:rPr>
                <w:rFonts w:ascii="Arial" w:cs="Arial" w:eastAsia="Arial" w:hAnsi="Arial"/>
                <w:color w:val="444444"/>
                <w:sz w:val="20"/>
                <w:szCs w:val="20"/>
              </w:rPr>
              <w:t xml:space="preserve">CI_width = CI_upper − CI_lower   [percentage points]</w:t>
            </w:r>
          </w:p>
          <w:p>
            <w:pPr>
              <w:spacing w:before="40" w:after="40"/>
            </w:pPr>
            <w:r>
              <w:rPr>
                <w:rFonts w:ascii="Arial" w:cs="Arial" w:eastAsia="Arial" w:hAnsi="Arial"/>
                <w:color w:val="444444"/>
                <w:sz w:val="20"/>
                <w:szCs w:val="20"/>
              </w:rPr>
              <w:t xml:space="preserve">Width interpretation:</w:t>
            </w:r>
          </w:p>
          <w:p>
            <w:pPr>
              <w:spacing w:before="40" w:after="40"/>
            </w:pPr>
            <w:r>
              <w:rPr>
                <w:rFonts w:ascii="Arial" w:cs="Arial" w:eastAsia="Arial" w:hAnsi="Arial"/>
                <w:color w:val="444444"/>
                <w:sz w:val="20"/>
                <w:szCs w:val="20"/>
              </w:rPr>
              <w:t xml:space="preserve">  &lt; 25 pp  = Narrow  (reliable prediction)</w:t>
            </w:r>
          </w:p>
          <w:p>
            <w:pPr>
              <w:spacing w:before="40" w:after="40"/>
            </w:pPr>
            <w:r>
              <w:rPr>
                <w:rFonts w:ascii="Arial" w:cs="Arial" w:eastAsia="Arial" w:hAnsi="Arial"/>
                <w:color w:val="444444"/>
                <w:sz w:val="20"/>
                <w:szCs w:val="20"/>
              </w:rPr>
              <w:t xml:space="preserve">  25–40 pp = Moderate</w:t>
            </w:r>
          </w:p>
          <w:p>
            <w:pPr>
              <w:spacing w:before="40" w:after="40"/>
            </w:pPr>
            <w:r>
              <w:rPr>
                <w:rFonts w:ascii="Arial" w:cs="Arial" w:eastAsia="Arial" w:hAnsi="Arial"/>
                <w:color w:val="444444"/>
                <w:sz w:val="20"/>
                <w:szCs w:val="20"/>
              </w:rPr>
              <w:t xml:space="preserve">  &gt; 40 pp  = Wide  (unreliable — clinical judgment should dominate)</w:t>
            </w:r>
          </w:p>
        </w:tc>
      </w:tr>
    </w:tbl>
    <w:p>
      <w:pPr>
        <w:spacing w:before="60" w:after="60"/>
      </w:pPr>
      <w:r>
        <w:t xml:space="preserve"> </w:t>
      </w:r>
    </w:p>
    <w:p>
      <w:pPr>
        <w:pStyle w:val="Heading2"/>
        <w:spacing w:before="300" w:after="100"/>
      </w:pPr>
      <w:r>
        <w:rPr>
          <w:rFonts w:ascii="Arial" w:cs="Arial" w:eastAsia="Arial" w:hAnsi="Arial"/>
          <w:b/>
          <w:bCs/>
          <w:color w:val="2E75B6"/>
          <w:sz w:val="28"/>
          <w:szCs w:val="28"/>
        </w:rPr>
        <w:t xml:space="preserve">5.6  Alert Suppression Logic</w:t>
      </w:r>
    </w:p>
    <w:p>
      <w:pPr>
        <w:spacing w:before="80" w:after="80"/>
      </w:pPr>
      <w:r>
        <w:rPr>
          <w:rFonts w:ascii="Arial" w:cs="Arial" w:eastAsia="Arial" w:hAnsi="Arial"/>
          <w:b w:val="false"/>
          <w:bCs w:val="false"/>
          <w:i w:val="false"/>
          <w:iCs w:val="false"/>
          <w:color w:val="333333"/>
          <w:sz w:val="22"/>
          <w:szCs w:val="22"/>
        </w:rPr>
        <w:t xml:space="preserve">Information-theoretic principle: a signal that fires on every case approaches zero information content. Alert fatigue is the mathematically correct response to a low signal-to-noise channel. The alert suppression system implements strict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3"/>
              <w:left w:val="single" w:color="C0392B" w:sz="8"/>
              <w:bottom w:val="single" w:color="C0392B" w:sz="3"/>
              <w:right w:val="single" w:color="C0392B" w:sz="3"/>
            </w:tcBorders>
            <w:shd w:fill="F8FBFF" w:val="clear"/>
            <w:tcMar>
              <w:top w:type="dxa" w:w="120"/>
              <w:left w:type="dxa" w:w="200"/>
              <w:bottom w:type="dxa" w:w="120"/>
              <w:right w:type="dxa" w:w="200"/>
            </w:tcMar>
          </w:tcPr>
          <w:p>
            <w:pPr>
              <w:spacing w:before="40" w:after="80"/>
            </w:pPr>
            <w:r>
              <w:rPr>
                <w:rFonts w:ascii="Arial" w:cs="Arial" w:eastAsia="Arial" w:hAnsi="Arial"/>
                <w:b/>
                <w:bCs/>
                <w:color w:val="C0392B"/>
                <w:sz w:val="22"/>
                <w:szCs w:val="22"/>
              </w:rPr>
              <w:t xml:space="preserve">Alert Hierarchy</w:t>
            </w:r>
          </w:p>
          <w:p>
            <w:pPr>
              <w:spacing w:before="40" w:after="40"/>
            </w:pPr>
            <w:r>
              <w:rPr>
                <w:rFonts w:ascii="Arial" w:cs="Arial" w:eastAsia="Arial" w:hAnsi="Arial"/>
                <w:color w:val="444444"/>
                <w:sz w:val="20"/>
                <w:szCs w:val="20"/>
              </w:rPr>
              <w:t xml:space="preserve">1 CRITICAL alert surfaced prominently — the single most urgent actionable finding</w:t>
            </w:r>
          </w:p>
          <w:p>
            <w:pPr>
              <w:spacing w:before="40" w:after="40"/>
            </w:pPr>
            <w:r>
              <w:rPr>
                <w:rFonts w:ascii="Arial" w:cs="Arial" w:eastAsia="Arial" w:hAnsi="Arial"/>
                <w:color w:val="444444"/>
                <w:sz w:val="20"/>
                <w:szCs w:val="20"/>
              </w:rPr>
              <w:t xml:space="preserve">All remaining alerts collapsed behind expandable section (labeled with count)</w:t>
            </w:r>
          </w:p>
          <w:p>
            <w:pPr>
              <w:spacing w:before="40" w:after="40"/>
            </w:pPr>
            <w:r>
              <w:rPr>
                <w:rFonts w:ascii="Arial" w:cs="Arial" w:eastAsia="Arial" w:hAnsi="Arial"/>
                <w:color w:val="444444"/>
                <w:sz w:val="20"/>
                <w:szCs w:val="20"/>
              </w:rPr>
              <w:t xml:space="preserve">Priority order: platelet crash &gt; plasma leakage &gt; DSS risk pattern &gt; approaching nadir</w:t>
            </w:r>
          </w:p>
          <w:p>
            <w:pPr>
              <w:spacing w:before="40" w:after="40"/>
            </w:pPr>
            <w:r>
              <w:rPr>
                <w:rFonts w:ascii="Arial" w:cs="Arial" w:eastAsia="Arial" w:hAnsi="Arial"/>
                <w:color w:val="444444"/>
                <w:sz w:val="20"/>
                <w:szCs w:val="20"/>
              </w:rPr>
              <w:t xml:space="preserve">Clinical rationale: every additional alert visible simultaneously costs attention and time</w:t>
            </w:r>
          </w:p>
          <w:p>
            <w:pPr>
              <w:spacing w:before="40" w:after="40"/>
            </w:pPr>
            <w:r>
              <w:rPr>
                <w:rFonts w:ascii="Arial" w:cs="Arial" w:eastAsia="Arial" w:hAnsi="Arial"/>
                <w:color w:val="444444"/>
                <w:sz w:val="20"/>
                <w:szCs w:val="20"/>
              </w:rPr>
              <w:t xml:space="preserve">Full alert set always accessible for comprehensive review in the expandable section</w:t>
            </w:r>
          </w:p>
        </w:tc>
      </w:tr>
    </w:tbl>
    <w:p>
      <w:pPr>
        <w:pBdr>
          <w:bottom w:val="single" w:color="2E75B6" w:sz="4" w:space="1"/>
        </w:pBdr>
        <w:spacing w:before="160" w:after="160"/>
      </w:pPr>
    </w:p>
    <w:p>
      <w:pPr>
        <w:pStyle w:val="Heading1"/>
        <w:spacing w:before="300" w:after="100"/>
      </w:pPr>
      <w:r>
        <w:rPr>
          <w:rFonts w:ascii="Arial" w:cs="Arial" w:eastAsia="Arial" w:hAnsi="Arial"/>
          <w:b/>
          <w:bCs/>
          <w:color w:val="1A3A6B"/>
          <w:sz w:val="36"/>
          <w:szCs w:val="36"/>
        </w:rPr>
        <w:t xml:space="preserve">6.  Machine Learning Model</w:t>
      </w:r>
    </w:p>
    <w:p>
      <w:pPr>
        <w:pStyle w:val="Heading2"/>
        <w:spacing w:before="300" w:after="100"/>
      </w:pPr>
      <w:r>
        <w:rPr>
          <w:rFonts w:ascii="Arial" w:cs="Arial" w:eastAsia="Arial" w:hAnsi="Arial"/>
          <w:b/>
          <w:bCs/>
          <w:color w:val="2E75B6"/>
          <w:sz w:val="28"/>
          <w:szCs w:val="28"/>
        </w:rPr>
        <w:t xml:space="preserve">6.1  Classification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Property</w:t>
            </w:r>
          </w:p>
        </w:tc>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Value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Algorithm</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Random Forest Classifier (scikit-learn)</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Training sample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n = 2,455 dengue patients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Features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PLT, Hb, RBC, Hct, Age, Sex, Fever, Headache, Joint Pain, Vomiting, Bleeding, Season Risk</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Target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Binary: Severe Dengue (1) vs Non-Severe (0)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Accuracy</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99.6%</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Sensitivity (Recall)</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100% — no severe cases missed in validation</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Specificity</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99.2%</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Negative Predictive Value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100%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Explainability</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SHAP TreeExplainer when installed; fallback to feature_importances_</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Urine output adjustment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Post-hoc risk modifier: +0.28 for oliguria (&lt;0.5), +0.14 borderline, -0.06 normal, +0.09 polyuria</w:t>
            </w:r>
          </w:p>
        </w:tc>
      </w:tr>
    </w:tbl>
    <w:p>
      <w:pPr>
        <w:spacing w:before="60" w:after="60"/>
      </w:pPr>
      <w:r>
        <w:t xml:space="preserve"> </w:t>
      </w:r>
    </w:p>
    <w:p>
      <w:pPr>
        <w:pStyle w:val="Heading2"/>
        <w:spacing w:before="300" w:after="100"/>
      </w:pPr>
      <w:r>
        <w:rPr>
          <w:rFonts w:ascii="Arial" w:cs="Arial" w:eastAsia="Arial" w:hAnsi="Arial"/>
          <w:b/>
          <w:bCs/>
          <w:color w:val="2E75B6"/>
          <w:sz w:val="28"/>
          <w:szCs w:val="28"/>
        </w:rPr>
        <w:t xml:space="preserve">6.2  Platelet Forecast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Property</w:t>
            </w:r>
          </w:p>
        </w:tc>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Value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Algorithm</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Linear Regression (scikit-learn) on serial CBC time series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Target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Platelet count at t + 24 hours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Validation R²</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0.9945 (n = 2,455)</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MAE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2,238 cells/uL</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Input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Days since first report (x-axis), observed platelet count (y-axis)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Limitation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Linear assumption — underestimates acceleration in critical phase; use trajectory engine for refined countdown</w:t>
            </w:r>
          </w:p>
        </w:tc>
      </w:tr>
    </w:tbl>
    <w:p>
      <w:pPr>
        <w:spacing w:before="60" w:after="60"/>
      </w:pPr>
      <w:r>
        <w:t xml:space="preserve"> </w:t>
      </w:r>
    </w:p>
    <w:p>
      <w:pPr>
        <w:pStyle w:val="Heading2"/>
        <w:spacing w:before="300" w:after="100"/>
      </w:pPr>
      <w:r>
        <w:rPr>
          <w:rFonts w:ascii="Arial" w:cs="Arial" w:eastAsia="Arial" w:hAnsi="Arial"/>
          <w:b/>
          <w:bCs/>
          <w:color w:val="2E75B6"/>
          <w:sz w:val="28"/>
          <w:szCs w:val="28"/>
        </w:rPr>
        <w:t xml:space="preserve">6.3  Season Risk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720"/>
        <w:gridCol w:w="614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Months</w:t>
            </w:r>
          </w:p>
        </w:tc>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Score</w:t>
            </w:r>
          </w:p>
        </w:tc>
        <w:tc>
          <w:tcPr>
            <w:tcW w:type="dxa" w:w="61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December, January, February</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0</w:t>
            </w:r>
          </w:p>
        </w:tc>
        <w:tc>
          <w:tcPr>
            <w:tcW w:type="dxa" w:w="6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Low transmission — dry/cool season in most dengue-endemic regions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March, April, May</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1</w:t>
            </w:r>
          </w:p>
        </w:tc>
        <w:tc>
          <w:tcPr>
            <w:tcW w:type="dxa" w:w="6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Rising — pre-monsoon warming increases Aedes activity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June, July, August, September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3</w:t>
            </w:r>
          </w:p>
        </w:tc>
        <w:tc>
          <w:tcPr>
            <w:tcW w:type="dxa" w:w="6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Peak — monsoon/wet season, maximum vector density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October, November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2</w:t>
            </w:r>
          </w:p>
        </w:tc>
        <w:tc>
          <w:tcPr>
            <w:tcW w:type="dxa" w:w="6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Declining but still elevated post-monsoon</w:t>
            </w:r>
          </w:p>
        </w:tc>
      </w:tr>
    </w:tbl>
    <w:p>
      <w:pPr>
        <w:pBdr>
          <w:bottom w:val="single" w:color="2E75B6" w:sz="4" w:space="1"/>
        </w:pBdr>
        <w:spacing w:before="160" w:after="160"/>
      </w:pPr>
    </w:p>
    <w:p>
      <w:pPr>
        <w:pStyle w:val="Heading1"/>
        <w:spacing w:before="300" w:after="100"/>
      </w:pPr>
      <w:r>
        <w:rPr>
          <w:rFonts w:ascii="Arial" w:cs="Arial" w:eastAsia="Arial" w:hAnsi="Arial"/>
          <w:b/>
          <w:bCs/>
          <w:color w:val="1A3A6B"/>
          <w:sz w:val="36"/>
          <w:szCs w:val="36"/>
        </w:rPr>
        <w:t xml:space="preserve">7.  WHO 2009 Classification Engine</w:t>
      </w:r>
    </w:p>
    <w:p>
      <w:pPr>
        <w:spacing w:before="80" w:after="80"/>
      </w:pPr>
      <w:r>
        <w:rPr>
          <w:rFonts w:ascii="Arial" w:cs="Arial" w:eastAsia="Arial" w:hAnsi="Arial"/>
          <w:b w:val="false"/>
          <w:bCs w:val="false"/>
          <w:i w:val="false"/>
          <w:iCs w:val="false"/>
          <w:color w:val="333333"/>
          <w:sz w:val="22"/>
          <w:szCs w:val="22"/>
        </w:rPr>
        <w:t xml:space="preserve">The WHO 2009 dengue classification is the international standard for dengue triage. The CDSS implements the full algorithm, evaluating criteria in order of severity.</w:t>
      </w:r>
    </w:p>
    <w:p>
      <w:pPr>
        <w:spacing w:before="60" w:after="60"/>
      </w:pPr>
      <w:r>
        <w:t xml:space="preserve"> </w:t>
      </w:r>
    </w:p>
    <w:p>
      <w:pPr>
        <w:pStyle w:val="Heading3"/>
        <w:spacing w:before="180" w:after="100"/>
      </w:pPr>
      <w:r>
        <w:rPr>
          <w:rFonts w:ascii="Arial" w:cs="Arial" w:eastAsia="Arial" w:hAnsi="Arial"/>
          <w:b/>
          <w:bCs/>
          <w:color w:val="1F6B9A"/>
          <w:sz w:val="24"/>
          <w:szCs w:val="24"/>
        </w:rPr>
        <w:t xml:space="preserve">Group C — Severe Dengue (any single criterion sufficient)</w:t>
      </w:r>
    </w:p>
    <w:p>
      <w:pPr>
        <w:pStyle w:val="ListParagraph"/>
        <w:numPr>
          <w:ilvl w:val="0"/>
          <w:numId w:val="2"/>
        </w:numPr>
        <w:spacing w:before="50" w:after="50"/>
      </w:pPr>
      <w:r>
        <w:rPr>
          <w:rFonts w:ascii="Arial" w:cs="Arial" w:eastAsia="Arial" w:hAnsi="Arial"/>
          <w:color w:val="333333"/>
          <w:sz w:val="22"/>
          <w:szCs w:val="22"/>
        </w:rPr>
        <w:t xml:space="preserve">Shock Index ≥ 1.0 — haemodynamic compromise</w:t>
      </w:r>
    </w:p>
    <w:p>
      <w:pPr>
        <w:pStyle w:val="ListParagraph"/>
        <w:numPr>
          <w:ilvl w:val="0"/>
          <w:numId w:val="2"/>
        </w:numPr>
        <w:spacing w:before="50" w:after="50"/>
      </w:pPr>
      <w:r>
        <w:rPr>
          <w:rFonts w:ascii="Arial" w:cs="Arial" w:eastAsia="Arial" w:hAnsi="Arial"/>
          <w:color w:val="333333"/>
          <w:sz w:val="22"/>
          <w:szCs w:val="22"/>
        </w:rPr>
        <w:t xml:space="preserve">MAP &lt; 65 mmHg — inadequate organ perfusion pressure</w:t>
      </w:r>
    </w:p>
    <w:p>
      <w:pPr>
        <w:pStyle w:val="ListParagraph"/>
        <w:numPr>
          <w:ilvl w:val="0"/>
          <w:numId w:val="2"/>
        </w:numPr>
        <w:spacing w:before="50" w:after="50"/>
      </w:pPr>
      <w:r>
        <w:rPr>
          <w:rFonts w:ascii="Arial" w:cs="Arial" w:eastAsia="Arial" w:hAnsi="Arial"/>
          <w:color w:val="333333"/>
          <w:sz w:val="22"/>
          <w:szCs w:val="22"/>
        </w:rPr>
        <w:t xml:space="preserve">Hct rise ≥ 10% from previous report — rapid plasma leakage</w:t>
      </w:r>
    </w:p>
    <w:p>
      <w:pPr>
        <w:pStyle w:val="ListParagraph"/>
        <w:numPr>
          <w:ilvl w:val="0"/>
          <w:numId w:val="2"/>
        </w:numPr>
        <w:spacing w:before="50" w:after="50"/>
      </w:pPr>
      <w:r>
        <w:rPr>
          <w:rFonts w:ascii="Arial" w:cs="Arial" w:eastAsia="Arial" w:hAnsi="Arial"/>
          <w:color w:val="333333"/>
          <w:sz w:val="22"/>
          <w:szCs w:val="22"/>
        </w:rPr>
        <w:t xml:space="preserve">Mucosal bleeding + platelets &lt; 50,000 — severe bleeding risk</w:t>
      </w:r>
    </w:p>
    <w:p>
      <w:pPr>
        <w:pStyle w:val="ListParagraph"/>
        <w:numPr>
          <w:ilvl w:val="0"/>
          <w:numId w:val="2"/>
        </w:numPr>
        <w:spacing w:before="50" w:after="50"/>
      </w:pPr>
      <w:r>
        <w:rPr>
          <w:rFonts w:ascii="Arial" w:cs="Arial" w:eastAsia="Arial" w:hAnsi="Arial"/>
          <w:color w:val="333333"/>
          <w:sz w:val="22"/>
          <w:szCs w:val="22"/>
        </w:rPr>
        <w:t xml:space="preserve">Platelets &lt; 20,000 — critical thrombocytopenia</w:t>
      </w:r>
    </w:p>
    <w:p>
      <w:pPr>
        <w:spacing w:before="60" w:after="60"/>
      </w:pPr>
      <w:r>
        <w:t xml:space="preserve"> </w:t>
      </w:r>
    </w:p>
    <w:p>
      <w:pPr>
        <w:pStyle w:val="Heading3"/>
        <w:spacing w:before="180" w:after="100"/>
      </w:pPr>
      <w:r>
        <w:rPr>
          <w:rFonts w:ascii="Arial" w:cs="Arial" w:eastAsia="Arial" w:hAnsi="Arial"/>
          <w:b/>
          <w:bCs/>
          <w:color w:val="1F6B9A"/>
          <w:sz w:val="24"/>
          <w:szCs w:val="24"/>
        </w:rPr>
        <w:t xml:space="preserve">Group B — Dengue with Warning Signs (any criterion sufficient)</w:t>
      </w:r>
    </w:p>
    <w:p>
      <w:pPr>
        <w:pStyle w:val="ListParagraph"/>
        <w:numPr>
          <w:ilvl w:val="0"/>
          <w:numId w:val="2"/>
        </w:numPr>
        <w:spacing w:before="50" w:after="50"/>
      </w:pPr>
      <w:r>
        <w:rPr>
          <w:rFonts w:ascii="Arial" w:cs="Arial" w:eastAsia="Arial" w:hAnsi="Arial"/>
          <w:color w:val="333333"/>
          <w:sz w:val="22"/>
          <w:szCs w:val="22"/>
        </w:rPr>
        <w:t xml:space="preserve">Abdominal pain or tenderness</w:t>
      </w:r>
    </w:p>
    <w:p>
      <w:pPr>
        <w:pStyle w:val="ListParagraph"/>
        <w:numPr>
          <w:ilvl w:val="0"/>
          <w:numId w:val="2"/>
        </w:numPr>
        <w:spacing w:before="50" w:after="50"/>
      </w:pPr>
      <w:r>
        <w:rPr>
          <w:rFonts w:ascii="Arial" w:cs="Arial" w:eastAsia="Arial" w:hAnsi="Arial"/>
          <w:color w:val="333333"/>
          <w:sz w:val="22"/>
          <w:szCs w:val="22"/>
        </w:rPr>
        <w:t xml:space="preserve">Persistent vomiting</w:t>
      </w:r>
    </w:p>
    <w:p>
      <w:pPr>
        <w:pStyle w:val="ListParagraph"/>
        <w:numPr>
          <w:ilvl w:val="0"/>
          <w:numId w:val="2"/>
        </w:numPr>
        <w:spacing w:before="50" w:after="50"/>
      </w:pPr>
      <w:r>
        <w:rPr>
          <w:rFonts w:ascii="Arial" w:cs="Arial" w:eastAsia="Arial" w:hAnsi="Arial"/>
          <w:color w:val="333333"/>
          <w:sz w:val="22"/>
          <w:szCs w:val="22"/>
        </w:rPr>
        <w:t xml:space="preserve">Mucosal bleeding (without severe thrombocytopenia)</w:t>
      </w:r>
    </w:p>
    <w:p>
      <w:pPr>
        <w:pStyle w:val="ListParagraph"/>
        <w:numPr>
          <w:ilvl w:val="0"/>
          <w:numId w:val="2"/>
        </w:numPr>
        <w:spacing w:before="50" w:after="50"/>
      </w:pPr>
      <w:r>
        <w:rPr>
          <w:rFonts w:ascii="Arial" w:cs="Arial" w:eastAsia="Arial" w:hAnsi="Arial"/>
          <w:color w:val="333333"/>
          <w:sz w:val="22"/>
          <w:szCs w:val="22"/>
        </w:rPr>
        <w:t xml:space="preserve">Lethargy or restlessness</w:t>
      </w:r>
    </w:p>
    <w:p>
      <w:pPr>
        <w:pStyle w:val="ListParagraph"/>
        <w:numPr>
          <w:ilvl w:val="0"/>
          <w:numId w:val="2"/>
        </w:numPr>
        <w:spacing w:before="50" w:after="50"/>
      </w:pPr>
      <w:r>
        <w:rPr>
          <w:rFonts w:ascii="Arial" w:cs="Arial" w:eastAsia="Arial" w:hAnsi="Arial"/>
          <w:color w:val="333333"/>
          <w:sz w:val="22"/>
          <w:szCs w:val="22"/>
        </w:rPr>
        <w:t xml:space="preserve">Liver enlargement &gt; 2 cm</w:t>
      </w:r>
    </w:p>
    <w:p>
      <w:pPr>
        <w:pStyle w:val="ListParagraph"/>
        <w:numPr>
          <w:ilvl w:val="0"/>
          <w:numId w:val="2"/>
        </w:numPr>
        <w:spacing w:before="50" w:after="50"/>
      </w:pPr>
      <w:r>
        <w:rPr>
          <w:rFonts w:ascii="Arial" w:cs="Arial" w:eastAsia="Arial" w:hAnsi="Arial"/>
          <w:color w:val="333333"/>
          <w:sz w:val="22"/>
          <w:szCs w:val="22"/>
        </w:rPr>
        <w:t xml:space="preserve">Hct rise ≥ 5% from previous report</w:t>
      </w:r>
    </w:p>
    <w:p>
      <w:pPr>
        <w:pStyle w:val="ListParagraph"/>
        <w:numPr>
          <w:ilvl w:val="0"/>
          <w:numId w:val="2"/>
        </w:numPr>
        <w:spacing w:before="50" w:after="50"/>
      </w:pPr>
      <w:r>
        <w:rPr>
          <w:rFonts w:ascii="Arial" w:cs="Arial" w:eastAsia="Arial" w:hAnsi="Arial"/>
          <w:color w:val="333333"/>
          <w:sz w:val="22"/>
          <w:szCs w:val="22"/>
        </w:rPr>
        <w:t xml:space="preserve">Platelets &lt; 100,000</w:t>
      </w:r>
    </w:p>
    <w:p>
      <w:pPr>
        <w:pStyle w:val="ListParagraph"/>
        <w:numPr>
          <w:ilvl w:val="0"/>
          <w:numId w:val="2"/>
        </w:numPr>
        <w:spacing w:before="50" w:after="50"/>
      </w:pPr>
      <w:r>
        <w:rPr>
          <w:rFonts w:ascii="Arial" w:cs="Arial" w:eastAsia="Arial" w:hAnsi="Arial"/>
          <w:color w:val="333333"/>
          <w:sz w:val="22"/>
          <w:szCs w:val="22"/>
        </w:rPr>
        <w:t xml:space="preserve">Shock Index ≥ 0.9</w:t>
      </w:r>
    </w:p>
    <w:p>
      <w:pPr>
        <w:spacing w:before="60" w:after="60"/>
      </w:pPr>
      <w:r>
        <w:t xml:space="preserve"> </w:t>
      </w:r>
    </w:p>
    <w:p>
      <w:pPr>
        <w:pStyle w:val="Heading3"/>
        <w:spacing w:before="180" w:after="100"/>
      </w:pPr>
      <w:r>
        <w:rPr>
          <w:rFonts w:ascii="Arial" w:cs="Arial" w:eastAsia="Arial" w:hAnsi="Arial"/>
          <w:b/>
          <w:bCs/>
          <w:color w:val="1F6B9A"/>
          <w:sz w:val="24"/>
          <w:szCs w:val="24"/>
        </w:rPr>
        <w:t xml:space="preserve">Group A — Dengue without Warning Signs</w:t>
      </w:r>
    </w:p>
    <w:p>
      <w:pPr>
        <w:spacing w:before="80" w:after="80"/>
      </w:pPr>
      <w:r>
        <w:rPr>
          <w:rFonts w:ascii="Arial" w:cs="Arial" w:eastAsia="Arial" w:hAnsi="Arial"/>
          <w:b w:val="false"/>
          <w:bCs w:val="false"/>
          <w:i w:val="false"/>
          <w:iCs w:val="false"/>
          <w:color w:val="333333"/>
          <w:sz w:val="22"/>
          <w:szCs w:val="22"/>
        </w:rPr>
        <w:t xml:space="preserve">Patients meeting no B or C criteria. Management: outpatient or observation, daily CBC, oral hydration, paracetamol (15 mg/kg/dose), return-to-care education on warning signs.</w:t>
      </w:r>
    </w:p>
    <w:p>
      <w:pPr>
        <w:pBdr>
          <w:bottom w:val="single" w:color="2E75B6" w:sz="4" w:space="1"/>
        </w:pBdr>
        <w:spacing w:before="160" w:after="160"/>
      </w:pPr>
    </w:p>
    <w:p>
      <w:pPr>
        <w:pStyle w:val="Heading1"/>
        <w:spacing w:before="300" w:after="100"/>
      </w:pPr>
      <w:r>
        <w:rPr>
          <w:rFonts w:ascii="Arial" w:cs="Arial" w:eastAsia="Arial" w:hAnsi="Arial"/>
          <w:b/>
          <w:bCs/>
          <w:color w:val="1A3A6B"/>
          <w:sz w:val="36"/>
          <w:szCs w:val="36"/>
        </w:rPr>
        <w:t xml:space="preserve">8.  Alert System &amp; Fatigue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37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Alert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Trigger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Priority</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Recommended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Platelet Crash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PLT drop &gt; 40,000/24h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CRITICAL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Immediate CBC repeat; prepare transfusion if &lt;20,000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Rapid PLT Drop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PLT drop 20k–40k/24h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WARNING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Increase CBC frequency to every 6 hours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Plasma Leakage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Hct rise ≥ 10% between reports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CRITICAL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WHO severe criteria met; IV fluid resuscitation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Rising Hematocrit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Hct rise 5–10% between reports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WARNING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Check for pleural effusion/ascites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Worsening Shock Index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SI ≥ 0.9 and rising &gt; 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WARNING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Assess perfusion; consider fluid challenge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Urine Output Drop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50% decline in urine 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WARNING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Evaluate renal perfusion; check for AKI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DSS Risk Pattern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SI ≥ 0.9 AND PLT &lt; 100,000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CRITICAL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DSS precursor; immediate clinical review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Fluid Overload Risk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Hct fell &gt;10% AND urine &gt;3.0 mL/kg/hr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WARNING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Reduce fluid rate; watch for respiratory compromise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Approaching Critical Nadir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PLT &lt; 50,000 and still declining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CRITICAL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Alert blood bank; prophylactic transfusion per protocol</w:t>
            </w:r>
          </w:p>
        </w:tc>
      </w:tr>
    </w:tbl>
    <w:p>
      <w:pPr>
        <w:pBdr>
          <w:bottom w:val="single" w:color="2E75B6" w:sz="4" w:space="1"/>
        </w:pBdr>
        <w:spacing w:before="160" w:after="160"/>
      </w:pPr>
    </w:p>
    <w:p>
      <w:pPr>
        <w:pStyle w:val="Heading1"/>
        <w:spacing w:before="300" w:after="100"/>
      </w:pPr>
      <w:r>
        <w:rPr>
          <w:rFonts w:ascii="Arial" w:cs="Arial" w:eastAsia="Arial" w:hAnsi="Arial"/>
          <w:b/>
          <w:bCs/>
          <w:color w:val="1A3A6B"/>
          <w:sz w:val="36"/>
          <w:szCs w:val="36"/>
        </w:rPr>
        <w:t xml:space="preserve">9.  OCR Lab Report Extraction</w:t>
      </w:r>
    </w:p>
    <w:p>
      <w:pPr>
        <w:spacing w:before="80" w:after="80"/>
      </w:pPr>
      <w:r>
        <w:rPr>
          <w:rFonts w:ascii="Arial" w:cs="Arial" w:eastAsia="Arial" w:hAnsi="Arial"/>
          <w:b w:val="false"/>
          <w:bCs w:val="false"/>
          <w:i w:val="false"/>
          <w:iCs w:val="false"/>
          <w:color w:val="333333"/>
          <w:sz w:val="22"/>
          <w:szCs w:val="22"/>
        </w:rPr>
        <w:t xml:space="preserve">The OCR engine enables clinicians to upload scanned or photographed lab reports and automatically populate CDSS fields, eliminating manual re-entry transcription errors.</w:t>
      </w:r>
    </w:p>
    <w:p>
      <w:pPr>
        <w:spacing w:before="60" w:after="60"/>
      </w:pPr>
      <w:r>
        <w:t xml:space="preserve"> </w:t>
      </w:r>
    </w:p>
    <w:p>
      <w:pPr>
        <w:pStyle w:val="Heading3"/>
        <w:spacing w:before="180" w:after="100"/>
      </w:pPr>
      <w:r>
        <w:rPr>
          <w:rFonts w:ascii="Arial" w:cs="Arial" w:eastAsia="Arial" w:hAnsi="Arial"/>
          <w:b/>
          <w:bCs/>
          <w:color w:val="1F6B9A"/>
          <w:sz w:val="24"/>
          <w:szCs w:val="24"/>
        </w:rPr>
        <w:t xml:space="preserve">Processing Pipeline</w:t>
      </w:r>
    </w:p>
    <w:p>
      <w:pPr>
        <w:pStyle w:val="ListParagraph"/>
        <w:numPr>
          <w:ilvl w:val="0"/>
          <w:numId w:val="3"/>
        </w:numPr>
        <w:spacing w:before="80" w:after="80"/>
      </w:pPr>
      <w:r>
        <w:rPr>
          <w:rFonts w:ascii="Arial" w:cs="Arial" w:eastAsia="Arial" w:hAnsi="Arial"/>
          <w:color w:val="333333"/>
          <w:sz w:val="22"/>
          <w:szCs w:val="22"/>
        </w:rPr>
        <w:t xml:space="preserve">Image preprocessing (OpenCV): deskew rotation correction (minAreaRect), CLAHE contrast enhancement, adaptive Gaussian thresholding, 2x upscaling for small fonts</w:t>
      </w:r>
    </w:p>
    <w:p>
      <w:pPr>
        <w:pStyle w:val="ListParagraph"/>
        <w:numPr>
          <w:ilvl w:val="0"/>
          <w:numId w:val="3"/>
        </w:numPr>
        <w:spacing w:before="80" w:after="80"/>
      </w:pPr>
      <w:r>
        <w:rPr>
          <w:rFonts w:ascii="Arial" w:cs="Arial" w:eastAsia="Arial" w:hAnsi="Arial"/>
          <w:color w:val="333333"/>
          <w:sz w:val="22"/>
          <w:szCs w:val="22"/>
        </w:rPr>
        <w:t xml:space="preserve">OCR (Tesseract, --oem 3 --psm 6): full text extraction from processed image</w:t>
      </w:r>
    </w:p>
    <w:p>
      <w:pPr>
        <w:pStyle w:val="ListParagraph"/>
        <w:numPr>
          <w:ilvl w:val="0"/>
          <w:numId w:val="3"/>
        </w:numPr>
        <w:spacing w:before="80" w:after="80"/>
      </w:pPr>
      <w:r>
        <w:rPr>
          <w:rFonts w:ascii="Arial" w:cs="Arial" w:eastAsia="Arial" w:hAnsi="Arial"/>
          <w:color w:val="333333"/>
          <w:sz w:val="22"/>
          <w:szCs w:val="22"/>
        </w:rPr>
        <w:t xml:space="preserve">PDF text extraction (pypdf): direct text layer extraction where available; falls back to image OCR via pdf2image</w:t>
      </w:r>
    </w:p>
    <w:p>
      <w:pPr>
        <w:pStyle w:val="ListParagraph"/>
        <w:numPr>
          <w:ilvl w:val="0"/>
          <w:numId w:val="3"/>
        </w:numPr>
        <w:spacing w:before="80" w:after="80"/>
      </w:pPr>
      <w:r>
        <w:rPr>
          <w:rFonts w:ascii="Arial" w:cs="Arial" w:eastAsia="Arial" w:hAnsi="Arial"/>
          <w:color w:val="333333"/>
          <w:sz w:val="22"/>
          <w:szCs w:val="22"/>
        </w:rPr>
        <w:t xml:space="preserve">Regex pattern matching: field-specific patterns for each parameter with plausibility validation</w:t>
      </w:r>
    </w:p>
    <w:p>
      <w:pPr>
        <w:pStyle w:val="ListParagraph"/>
        <w:numPr>
          <w:ilvl w:val="0"/>
          <w:numId w:val="3"/>
        </w:numPr>
        <w:spacing w:before="80" w:after="80"/>
      </w:pPr>
      <w:r>
        <w:rPr>
          <w:rFonts w:ascii="Arial" w:cs="Arial" w:eastAsia="Arial" w:hAnsi="Arial"/>
          <w:color w:val="333333"/>
          <w:sz w:val="22"/>
          <w:szCs w:val="22"/>
        </w:rPr>
        <w:t xml:space="preserve">Confidence scoring: High (≥85%), Medium (65–85%), Low (&lt;65%). Plausibility check subtracts 0.5 from confidence for out-of-range values</w:t>
      </w:r>
    </w:p>
    <w:p>
      <w:pPr>
        <w:pStyle w:val="ListParagraph"/>
        <w:numPr>
          <w:ilvl w:val="0"/>
          <w:numId w:val="3"/>
        </w:numPr>
        <w:spacing w:before="80" w:after="80"/>
      </w:pPr>
      <w:r>
        <w:rPr>
          <w:rFonts w:ascii="Arial" w:cs="Arial" w:eastAsia="Arial" w:hAnsi="Arial"/>
          <w:color w:val="333333"/>
          <w:sz w:val="22"/>
          <w:szCs w:val="22"/>
        </w:rPr>
        <w:t xml:space="preserve">Staged acceptance: extracted values shown for clinician review and explicitly accepted before writing to session state. OCR never silently overwrites entered data</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Field</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OCR Pattern Priority</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Plausibility Check Range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Platelet Count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Platelet count &gt; PLT &gt; THROMBOCYTES &gt; PC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1,000 – 1,000,000 cells/uL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Haemoglobin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Haemoglobin &gt; HGB &gt; Hb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2.0 – 25.0 g/dL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Haematocrit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Hematocrit &gt; Haematocrit &gt; PCV &gt; HCT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5.0 – 70.0%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Blood Pressure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BP pattern (SBP/DBP) &gt; Systolic/Diastolic separately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SBP 50–250, DBP 30–150 mmHg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Heart Rate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Heart Rate &gt; Pulse Rate &gt; HR &gt; Pulse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30 – 220 bpm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Patient Name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Patient Name &gt; Name &gt; Mr./Mrs./Ms. prefix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Length ≥ 4 chars, not in blocklist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Time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Sample Time &gt; Collection Time &gt; AM/PM &gt; 24hr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Valid hour 0–23, minute 0–59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Weight / Height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Weight + unit &gt; Wt + unit; Height + unit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Weight 1–300 kg; Height 30–250 cm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Urine Output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Urine output/volume + mL &gt; UO + mL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0 – 5000 mL</w:t>
            </w:r>
          </w:p>
        </w:tc>
      </w:tr>
    </w:tbl>
    <w:p>
      <w:pPr>
        <w:pBdr>
          <w:bottom w:val="single" w:color="2E75B6" w:sz="4" w:space="1"/>
        </w:pBdr>
        <w:spacing w:before="160" w:after="160"/>
      </w:pPr>
    </w:p>
    <w:p>
      <w:pPr>
        <w:pStyle w:val="Heading1"/>
        <w:spacing w:before="300" w:after="100"/>
      </w:pPr>
      <w:r>
        <w:rPr>
          <w:rFonts w:ascii="Arial" w:cs="Arial" w:eastAsia="Arial" w:hAnsi="Arial"/>
          <w:b/>
          <w:bCs/>
          <w:color w:val="1A3A6B"/>
          <w:sz w:val="36"/>
          <w:szCs w:val="36"/>
        </w:rPr>
        <w:t xml:space="preserve">10.  Discharge Readiness Checklist</w:t>
      </w:r>
    </w:p>
    <w:p>
      <w:pPr>
        <w:spacing w:before="80" w:after="80"/>
      </w:pPr>
      <w:r>
        <w:rPr>
          <w:rFonts w:ascii="Arial" w:cs="Arial" w:eastAsia="Arial" w:hAnsi="Arial"/>
          <w:b w:val="false"/>
          <w:bCs w:val="false"/>
          <w:i w:val="false"/>
          <w:iCs w:val="false"/>
          <w:color w:val="333333"/>
          <w:sz w:val="22"/>
          <w:szCs w:val="22"/>
        </w:rPr>
        <w:t xml:space="preserve">The WHO 2009 guidelines specify seven criteria that must all be met before dengue discharge. The CDSS evaluates all seven automatically from entered data, with two criteria requiring manual clinical input.</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Criterion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Data Source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Pass Condition</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Afebrile ≥ 48 hours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Manual input (sidebar)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Fever-free hours ≥ 48</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Entered by clinician; cannot be inferred from CBC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Platelet trend improving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Serial CBC (auto)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Latest PLT &gt; previous PLT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Requires ≥ 2 reports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Platelets ≥ 50,000 cells/uL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Latest CBC (auto)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Absolute threshold met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Safety margin before discharge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Haemodynamics stable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Latest vitals (auto)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SI &lt; 0.9 AND MAP ≥ 65 AND PP &gt; 20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All three must pass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Adequate urine output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Urine calculator (auto)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0.5 – 4.0 mL/kg/hr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Requires weight and urine volume entry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No active WHO warning signs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Warning sign checklist (auto)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Zero warning signs selected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Must clear all active signs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Tolerating oral fluids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Manual input (sidebar)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Checkbox confirmed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Entered by clinician; clinical assessment required</w:t>
            </w:r>
          </w:p>
        </w:tc>
      </w:tr>
    </w:tbl>
    <w:p>
      <w:pPr>
        <w:spacing w:before="80" w:after="80"/>
      </w:pPr>
      <w:r>
        <w:rPr>
          <w:rFonts w:ascii="Arial" w:cs="Arial" w:eastAsia="Arial" w:hAnsi="Arial"/>
          <w:b w:val="false"/>
          <w:bCs w:val="false"/>
          <w:i w:val="false"/>
          <w:iCs w:val="false"/>
          <w:color w:val="333333"/>
          <w:sz w:val="22"/>
          <w:szCs w:val="22"/>
        </w:rPr>
        <w:t xml:space="preserve">All 7 criteria must pass for the discharge indication. Criteria with unknown status (not yet assessed) do not block discharge if at least 4 known criteria pass — but the clinician is explicitly shown which criteria are unassessed.</w:t>
      </w:r>
    </w:p>
    <w:p>
      <w:pPr>
        <w:pBdr>
          <w:bottom w:val="single" w:color="2E75B6" w:sz="4" w:space="1"/>
        </w:pBdr>
        <w:spacing w:before="160" w:after="160"/>
      </w:pPr>
    </w:p>
    <w:p>
      <w:pPr>
        <w:pStyle w:val="Heading1"/>
        <w:spacing w:before="300" w:after="100"/>
      </w:pPr>
      <w:r>
        <w:rPr>
          <w:rFonts w:ascii="Arial" w:cs="Arial" w:eastAsia="Arial" w:hAnsi="Arial"/>
          <w:b/>
          <w:bCs/>
          <w:color w:val="1A3A6B"/>
          <w:sz w:val="36"/>
          <w:szCs w:val="36"/>
        </w:rPr>
        <w:t xml:space="preserve">11.  PDF Clinical Report Export</w:t>
      </w:r>
    </w:p>
    <w:p>
      <w:pPr>
        <w:spacing w:before="80" w:after="80"/>
      </w:pPr>
      <w:r>
        <w:rPr>
          <w:rFonts w:ascii="Arial" w:cs="Arial" w:eastAsia="Arial" w:hAnsi="Arial"/>
          <w:b w:val="false"/>
          <w:bCs w:val="false"/>
          <w:i w:val="false"/>
          <w:iCs w:val="false"/>
          <w:color w:val="333333"/>
          <w:sz w:val="22"/>
          <w:szCs w:val="22"/>
        </w:rPr>
        <w:t xml:space="preserve">The PDF export generates a complete, structured clinical document suitable for patient records, referral letters, and clinical audit. Contents:</w:t>
      </w:r>
    </w:p>
    <w:p>
      <w:pPr>
        <w:pStyle w:val="ListParagraph"/>
        <w:numPr>
          <w:ilvl w:val="0"/>
          <w:numId w:val="2"/>
        </w:numPr>
        <w:spacing w:before="50" w:after="50"/>
      </w:pPr>
      <w:r>
        <w:rPr>
          <w:rFonts w:ascii="Arial" w:cs="Arial" w:eastAsia="Arial" w:hAnsi="Arial"/>
          <w:color w:val="333333"/>
          <w:sz w:val="22"/>
          <w:szCs w:val="22"/>
        </w:rPr>
        <w:t xml:space="preserve">Patient demographics and body metrics (BMI, weight)</w:t>
      </w:r>
    </w:p>
    <w:p>
      <w:pPr>
        <w:pStyle w:val="ListParagraph"/>
        <w:numPr>
          <w:ilvl w:val="0"/>
          <w:numId w:val="2"/>
        </w:numPr>
        <w:spacing w:before="50" w:after="50"/>
      </w:pPr>
      <w:r>
        <w:rPr>
          <w:rFonts w:ascii="Arial" w:cs="Arial" w:eastAsia="Arial" w:hAnsi="Arial"/>
          <w:color w:val="333333"/>
          <w:sz w:val="22"/>
          <w:szCs w:val="22"/>
        </w:rPr>
        <w:t xml:space="preserve">Continuous severity score with component breakdown (Haematological, Haemodynamic, Trend, Urine)</w:t>
      </w:r>
    </w:p>
    <w:p>
      <w:pPr>
        <w:pStyle w:val="ListParagraph"/>
        <w:numPr>
          <w:ilvl w:val="0"/>
          <w:numId w:val="2"/>
        </w:numPr>
        <w:spacing w:before="50" w:after="50"/>
      </w:pPr>
      <w:r>
        <w:rPr>
          <w:rFonts w:ascii="Arial" w:cs="Arial" w:eastAsia="Arial" w:hAnsi="Arial"/>
          <w:color w:val="333333"/>
          <w:sz w:val="22"/>
          <w:szCs w:val="22"/>
        </w:rPr>
        <w:t xml:space="preserve">WHO 2009 classification with criteria met and recommended actions</w:t>
      </w:r>
    </w:p>
    <w:p>
      <w:pPr>
        <w:pStyle w:val="ListParagraph"/>
        <w:numPr>
          <w:ilvl w:val="0"/>
          <w:numId w:val="2"/>
        </w:numPr>
        <w:spacing w:before="50" w:after="50"/>
      </w:pPr>
      <w:r>
        <w:rPr>
          <w:rFonts w:ascii="Arial" w:cs="Arial" w:eastAsia="Arial" w:hAnsi="Arial"/>
          <w:color w:val="333333"/>
          <w:sz w:val="22"/>
          <w:szCs w:val="22"/>
        </w:rPr>
        <w:t xml:space="preserve">All clinical alerts (complete list, not suppressed)</w:t>
      </w:r>
    </w:p>
    <w:p>
      <w:pPr>
        <w:pStyle w:val="ListParagraph"/>
        <w:numPr>
          <w:ilvl w:val="0"/>
          <w:numId w:val="2"/>
        </w:numPr>
        <w:spacing w:before="50" w:after="50"/>
      </w:pPr>
      <w:r>
        <w:rPr>
          <w:rFonts w:ascii="Arial" w:cs="Arial" w:eastAsia="Arial" w:hAnsi="Arial"/>
          <w:color w:val="333333"/>
          <w:sz w:val="22"/>
          <w:szCs w:val="22"/>
        </w:rPr>
        <w:t xml:space="preserve">Longitudinal vitals matrix (all reports in columns)</w:t>
      </w:r>
    </w:p>
    <w:p>
      <w:pPr>
        <w:pStyle w:val="ListParagraph"/>
        <w:numPr>
          <w:ilvl w:val="0"/>
          <w:numId w:val="2"/>
        </w:numPr>
        <w:spacing w:before="50" w:after="50"/>
      </w:pPr>
      <w:r>
        <w:rPr>
          <w:rFonts w:ascii="Arial" w:cs="Arial" w:eastAsia="Arial" w:hAnsi="Arial"/>
          <w:color w:val="333333"/>
          <w:sz w:val="22"/>
          <w:szCs w:val="22"/>
        </w:rPr>
        <w:t xml:space="preserve">AI risk assessment with 95% confidence interval</w:t>
      </w:r>
    </w:p>
    <w:p>
      <w:pPr>
        <w:pStyle w:val="ListParagraph"/>
        <w:numPr>
          <w:ilvl w:val="0"/>
          <w:numId w:val="2"/>
        </w:numPr>
        <w:spacing w:before="50" w:after="50"/>
      </w:pPr>
      <w:r>
        <w:rPr>
          <w:rFonts w:ascii="Arial" w:cs="Arial" w:eastAsia="Arial" w:hAnsi="Arial"/>
          <w:color w:val="333333"/>
          <w:sz w:val="22"/>
          <w:szCs w:val="22"/>
        </w:rPr>
        <w:t xml:space="preserve">24-hour platelet forecast with local R² and validation R²</w:t>
      </w:r>
    </w:p>
    <w:p>
      <w:pPr>
        <w:pStyle w:val="ListParagraph"/>
        <w:numPr>
          <w:ilvl w:val="0"/>
          <w:numId w:val="2"/>
        </w:numPr>
        <w:spacing w:before="50" w:after="50"/>
      </w:pPr>
      <w:r>
        <w:rPr>
          <w:rFonts w:ascii="Arial" w:cs="Arial" w:eastAsia="Arial" w:hAnsi="Arial"/>
          <w:color w:val="333333"/>
          <w:sz w:val="22"/>
          <w:szCs w:val="22"/>
        </w:rPr>
        <w:t xml:space="preserve">Discharge readiness checklist with criterion-level pass/fail</w:t>
      </w:r>
    </w:p>
    <w:p>
      <w:pPr>
        <w:pStyle w:val="ListParagraph"/>
        <w:numPr>
          <w:ilvl w:val="0"/>
          <w:numId w:val="2"/>
        </w:numPr>
        <w:spacing w:before="50" w:after="50"/>
      </w:pPr>
      <w:r>
        <w:rPr>
          <w:rFonts w:ascii="Arial" w:cs="Arial" w:eastAsia="Arial" w:hAnsi="Arial"/>
          <w:color w:val="333333"/>
          <w:sz w:val="22"/>
          <w:szCs w:val="22"/>
        </w:rPr>
        <w:t xml:space="preserve">Clinician notes verbatim</w:t>
      </w:r>
    </w:p>
    <w:p>
      <w:pPr>
        <w:pStyle w:val="ListParagraph"/>
        <w:numPr>
          <w:ilvl w:val="0"/>
          <w:numId w:val="2"/>
        </w:numPr>
        <w:spacing w:before="50" w:after="50"/>
      </w:pPr>
      <w:r>
        <w:rPr>
          <w:rFonts w:ascii="Arial" w:cs="Arial" w:eastAsia="Arial" w:hAnsi="Arial"/>
          <w:color w:val="333333"/>
          <w:sz w:val="22"/>
          <w:szCs w:val="22"/>
        </w:rPr>
        <w:t xml:space="preserve">Risk factors analysis chart (print-quality white background)</w:t>
      </w:r>
    </w:p>
    <w:p>
      <w:pPr>
        <w:pStyle w:val="ListParagraph"/>
        <w:numPr>
          <w:ilvl w:val="0"/>
          <w:numId w:val="2"/>
        </w:numPr>
        <w:spacing w:before="50" w:after="50"/>
      </w:pPr>
      <w:r>
        <w:rPr>
          <w:rFonts w:ascii="Arial" w:cs="Arial" w:eastAsia="Arial" w:hAnsi="Arial"/>
          <w:color w:val="333333"/>
          <w:sz w:val="22"/>
          <w:szCs w:val="22"/>
        </w:rPr>
        <w:t xml:space="preserve">Platelet trajectory chart with 24h forecast line</w:t>
      </w:r>
    </w:p>
    <w:p>
      <w:pPr>
        <w:pStyle w:val="ListParagraph"/>
        <w:numPr>
          <w:ilvl w:val="0"/>
          <w:numId w:val="2"/>
        </w:numPr>
        <w:spacing w:before="50" w:after="50"/>
      </w:pPr>
      <w:r>
        <w:rPr>
          <w:rFonts w:ascii="Arial" w:cs="Arial" w:eastAsia="Arial" w:hAnsi="Arial"/>
          <w:color w:val="333333"/>
          <w:sz w:val="22"/>
          <w:szCs w:val="22"/>
        </w:rPr>
        <w:t xml:space="preserve">Standard disclaimer on every page</w:t>
      </w:r>
    </w:p>
    <w:p>
      <w:pPr>
        <w:pBdr>
          <w:bottom w:val="single" w:color="2E75B6" w:sz="4" w:space="1"/>
        </w:pBdr>
        <w:spacing w:before="160" w:after="160"/>
      </w:pPr>
    </w:p>
    <w:p>
      <w:pPr>
        <w:pStyle w:val="Heading1"/>
        <w:spacing w:before="300" w:after="100"/>
      </w:pPr>
      <w:r>
        <w:rPr>
          <w:rFonts w:ascii="Arial" w:cs="Arial" w:eastAsia="Arial" w:hAnsi="Arial"/>
          <w:b/>
          <w:bCs/>
          <w:color w:val="1A3A6B"/>
          <w:sz w:val="36"/>
          <w:szCs w:val="36"/>
        </w:rPr>
        <w:t xml:space="preserve">12.  Global Deployment &amp; Refinement Roadmap</w:t>
      </w:r>
    </w:p>
    <w:p>
      <w:pPr>
        <w:pStyle w:val="Heading2"/>
        <w:spacing w:before="300" w:after="100"/>
      </w:pPr>
      <w:r>
        <w:rPr>
          <w:rFonts w:ascii="Arial" w:cs="Arial" w:eastAsia="Arial" w:hAnsi="Arial"/>
          <w:b/>
          <w:bCs/>
          <w:color w:val="2E75B6"/>
          <w:sz w:val="28"/>
          <w:szCs w:val="28"/>
        </w:rPr>
        <w:t xml:space="preserve">12.1  Current Deployment Strengths</w:t>
      </w:r>
    </w:p>
    <w:p>
      <w:pPr>
        <w:pStyle w:val="ListParagraph"/>
        <w:numPr>
          <w:ilvl w:val="0"/>
          <w:numId w:val="2"/>
        </w:numPr>
        <w:spacing w:before="50" w:after="50"/>
      </w:pPr>
      <w:r>
        <w:rPr>
          <w:rFonts w:ascii="Arial" w:cs="Arial" w:eastAsia="Arial" w:hAnsi="Arial"/>
          <w:color w:val="333333"/>
          <w:sz w:val="22"/>
          <w:szCs w:val="22"/>
        </w:rPr>
        <w:t xml:space="preserve">On-device processing: no patient data leaves the local machine (no cloud API calls for clinical data)</w:t>
      </w:r>
    </w:p>
    <w:p>
      <w:pPr>
        <w:pStyle w:val="ListParagraph"/>
        <w:numPr>
          <w:ilvl w:val="0"/>
          <w:numId w:val="2"/>
        </w:numPr>
        <w:spacing w:before="50" w:after="50"/>
      </w:pPr>
      <w:r>
        <w:rPr>
          <w:rFonts w:ascii="Arial" w:cs="Arial" w:eastAsia="Arial" w:hAnsi="Arial"/>
          <w:color w:val="333333"/>
          <w:sz w:val="22"/>
          <w:szCs w:val="22"/>
        </w:rPr>
        <w:t xml:space="preserve">Offline-capable: runs on a local Streamlit server without internet after initial setup</w:t>
      </w:r>
    </w:p>
    <w:p>
      <w:pPr>
        <w:pStyle w:val="ListParagraph"/>
        <w:numPr>
          <w:ilvl w:val="0"/>
          <w:numId w:val="2"/>
        </w:numPr>
        <w:spacing w:before="50" w:after="50"/>
      </w:pPr>
      <w:r>
        <w:rPr>
          <w:rFonts w:ascii="Arial" w:cs="Arial" w:eastAsia="Arial" w:hAnsi="Arial"/>
          <w:color w:val="333333"/>
          <w:sz w:val="22"/>
          <w:szCs w:val="22"/>
        </w:rPr>
        <w:t xml:space="preserve">Low hardware requirement: standard laptop, Raspberry Pi, or low-cost server</w:t>
      </w:r>
    </w:p>
    <w:p>
      <w:pPr>
        <w:pStyle w:val="ListParagraph"/>
        <w:numPr>
          <w:ilvl w:val="0"/>
          <w:numId w:val="2"/>
        </w:numPr>
        <w:spacing w:before="50" w:after="50"/>
      </w:pPr>
      <w:r>
        <w:rPr>
          <w:rFonts w:ascii="Arial" w:cs="Arial" w:eastAsia="Arial" w:hAnsi="Arial"/>
          <w:color w:val="333333"/>
          <w:sz w:val="22"/>
          <w:szCs w:val="22"/>
        </w:rPr>
        <w:t xml:space="preserve">Multi-language OCR: Tesseract supports 100+ languages with appropriate language packs</w:t>
      </w:r>
    </w:p>
    <w:p>
      <w:pPr>
        <w:pStyle w:val="ListParagraph"/>
        <w:numPr>
          <w:ilvl w:val="0"/>
          <w:numId w:val="2"/>
        </w:numPr>
        <w:spacing w:before="50" w:after="50"/>
      </w:pPr>
      <w:r>
        <w:rPr>
          <w:rFonts w:ascii="Arial" w:cs="Arial" w:eastAsia="Arial" w:hAnsi="Arial"/>
          <w:color w:val="333333"/>
          <w:sz w:val="22"/>
          <w:szCs w:val="22"/>
        </w:rPr>
        <w:t xml:space="preserve">No vendor lock-in: entirely open-source stack (Python, scikit-learn, Streamlit, FPDF, Tesseract)</w:t>
      </w:r>
    </w:p>
    <w:p>
      <w:pPr>
        <w:spacing w:before="60" w:after="60"/>
      </w:pPr>
      <w:r>
        <w:t xml:space="preserve"> </w:t>
      </w:r>
    </w:p>
    <w:p>
      <w:pPr>
        <w:pStyle w:val="Heading2"/>
        <w:spacing w:before="300" w:after="100"/>
      </w:pPr>
      <w:r>
        <w:rPr>
          <w:rFonts w:ascii="Arial" w:cs="Arial" w:eastAsia="Arial" w:hAnsi="Arial"/>
          <w:b/>
          <w:bCs/>
          <w:color w:val="2E75B6"/>
          <w:sz w:val="28"/>
          <w:szCs w:val="28"/>
        </w:rPr>
        <w:t xml:space="preserve">12.2  First Principles Refinement Roadmap</w:t>
      </w:r>
    </w:p>
    <w:p>
      <w:pPr>
        <w:spacing w:before="80" w:after="80"/>
      </w:pPr>
      <w:r>
        <w:rPr>
          <w:rFonts w:ascii="Arial" w:cs="Arial" w:eastAsia="Arial" w:hAnsi="Arial"/>
          <w:b w:val="false"/>
          <w:bCs w:val="false"/>
          <w:i w:val="false"/>
          <w:iCs w:val="false"/>
          <w:color w:val="333333"/>
          <w:sz w:val="22"/>
          <w:szCs w:val="22"/>
        </w:rPr>
        <w:t xml:space="preserve">The following refinements are grounded in the fundamental principle that dengue is a dynamical system — a time-evolving process with phase transitions — and the CDSS must model it as such, not as a static classification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Refinement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First Principles Rationale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Implementation Approach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LSTM / recurrent model to replace linear forecast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Platelet decline follows a sigmoidal curve, not a line. Linear models systematically underestimate risk at the inflection point.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Train LSTM on time-series sequences from the same n=2,455 dataset; output velocity field, not just 24h estimate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Calibrated probability outputs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A confidently wrong prediction is more dangerous than no prediction. The model needs to output probability + calibration.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Platt scaling or isotonic regression calibration layer trained on held-out validation set; display Brier score alongside risk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Prospective outcomes registry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A static model silently degrades as dengue serotype distribution shifts. Every discharged patient is a free data point.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Discharge outcome form (developed shock/ICU/discharge/mortality); quarterly retrain + performance drift monitoring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Local calibration layer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A nationally-trained model may be systematically miscalibrated for a specific district or facility.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Platt scaling recalibration using the facility’s own last 3 months of outcome data; toggleable in settings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Semi-quantitative clinical exam inputs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Capillary refill, skin temperature, GCS, AVPU, point-of-care ultrasound (effusion grade) are used intuitively by trained clinicians but never enter the current model.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Structured 2-minute nursing assessment module: CRT (seconds), skin temp, AVPU, effusion: none/small/moderate/large; integrate as additional risk features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Comorbidity adjustment modules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CKD, diabetes, pregnancy, immunosuppression alter dengue pathophysiology in ways the base model cannot capture.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Separate risk modifier coefficients per comorbidity; surfaced as a comorbidity flag panel with explicit CI widening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EHR / LIMS integration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Manual data entry is a bottleneck and error source at scale.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HL7 FHIR-compliant API endpoint accepting CBC and vitals from hospital LIS; auto-populate fields on admission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Multilingual interface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Dengue is highest burden in South Asia, Southeast Asia, Latin America. English-only UI limits deployment.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i18n layer with community-translated string tables for Tamil, Hindi, Tagalog, Bahasa, Portuguese, Spanish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Aggregated outbreak dashboard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Individual patient data, anonymised and aggregated, is public health intelligence.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Optional opt-in telemetry: anonymised severity distribution, platelet velocity distributions by district/week; local outbreak signal detection</w:t>
            </w:r>
          </w:p>
        </w:tc>
      </w:tr>
    </w:tbl>
    <w:p>
      <w:pPr>
        <w:pBdr>
          <w:bottom w:val="single" w:color="2E75B6" w:sz="4" w:space="1"/>
        </w:pBdr>
        <w:spacing w:before="160" w:after="160"/>
      </w:pPr>
    </w:p>
    <w:p>
      <w:pPr>
        <w:pStyle w:val="Heading1"/>
        <w:spacing w:before="300" w:after="100"/>
      </w:pPr>
      <w:r>
        <w:rPr>
          <w:rFonts w:ascii="Arial" w:cs="Arial" w:eastAsia="Arial" w:hAnsi="Arial"/>
          <w:b/>
          <w:bCs/>
          <w:color w:val="1A3A6B"/>
          <w:sz w:val="36"/>
          <w:szCs w:val="36"/>
        </w:rPr>
        <w:t xml:space="preserve">13.  Limitations &amp; Responsible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3"/>
              <w:left w:val="single" w:color="C0392B" w:sz="8"/>
              <w:bottom w:val="single" w:color="C0392B" w:sz="3"/>
              <w:right w:val="single" w:color="C0392B" w:sz="3"/>
            </w:tcBorders>
            <w:shd w:fill="F8FBFF" w:val="clear"/>
            <w:tcMar>
              <w:top w:type="dxa" w:w="120"/>
              <w:left w:type="dxa" w:w="200"/>
              <w:bottom w:type="dxa" w:w="120"/>
              <w:right w:type="dxa" w:w="200"/>
            </w:tcMar>
          </w:tcPr>
          <w:p>
            <w:pPr>
              <w:spacing w:before="40" w:after="80"/>
            </w:pPr>
            <w:r>
              <w:rPr>
                <w:rFonts w:ascii="Arial" w:cs="Arial" w:eastAsia="Arial" w:hAnsi="Arial"/>
                <w:b/>
                <w:bCs/>
                <w:color w:val="C0392B"/>
                <w:sz w:val="22"/>
                <w:szCs w:val="22"/>
              </w:rPr>
              <w:t xml:space="preserve">Non-Negotiable Limitations</w:t>
            </w:r>
          </w:p>
          <w:p>
            <w:pPr>
              <w:spacing w:before="40" w:after="40"/>
            </w:pPr>
            <w:r>
              <w:rPr>
                <w:rFonts w:ascii="Arial" w:cs="Arial" w:eastAsia="Arial" w:hAnsi="Arial"/>
                <w:color w:val="444444"/>
                <w:sz w:val="20"/>
                <w:szCs w:val="20"/>
              </w:rPr>
              <w:t xml:space="preserve">This system is a Clinical Decision Support tool. It does not replace physician judgment.</w:t>
            </w:r>
          </w:p>
          <w:p>
            <w:pPr>
              <w:spacing w:before="40" w:after="40"/>
            </w:pPr>
            <w:r>
              <w:rPr>
                <w:rFonts w:ascii="Arial" w:cs="Arial" w:eastAsia="Arial" w:hAnsi="Arial"/>
                <w:color w:val="444444"/>
                <w:sz w:val="20"/>
                <w:szCs w:val="20"/>
              </w:rPr>
              <w:t xml:space="preserve">The ML model was trained on n=2,455 patients from a specific geographic/temporal context.</w:t>
            </w:r>
          </w:p>
          <w:p>
            <w:pPr>
              <w:spacing w:before="40" w:after="40"/>
            </w:pPr>
            <w:r>
              <w:rPr>
                <w:rFonts w:ascii="Arial" w:cs="Arial" w:eastAsia="Arial" w:hAnsi="Arial"/>
                <w:color w:val="444444"/>
                <w:sz w:val="20"/>
                <w:szCs w:val="20"/>
              </w:rPr>
              <w:t xml:space="preserve">Predictions for patients with extreme age, atypical CBC patterns, or major comorbidities may be unreliable (OOD flag).</w:t>
            </w:r>
          </w:p>
          <w:p>
            <w:pPr>
              <w:spacing w:before="40" w:after="40"/>
            </w:pPr>
            <w:r>
              <w:rPr>
                <w:rFonts w:ascii="Arial" w:cs="Arial" w:eastAsia="Arial" w:hAnsi="Arial"/>
                <w:color w:val="444444"/>
                <w:sz w:val="20"/>
                <w:szCs w:val="20"/>
              </w:rPr>
              <w:t xml:space="preserve">Linear forecast underestimates risk velocity during rapid deterioration (use trajectory engine).</w:t>
            </w:r>
          </w:p>
          <w:p>
            <w:pPr>
              <w:spacing w:before="40" w:after="40"/>
            </w:pPr>
            <w:r>
              <w:rPr>
                <w:rFonts w:ascii="Arial" w:cs="Arial" w:eastAsia="Arial" w:hAnsi="Arial"/>
                <w:color w:val="444444"/>
                <w:sz w:val="20"/>
                <w:szCs w:val="20"/>
              </w:rPr>
              <w:t xml:space="preserve">OCR extraction requires review before acceptance; do not use OCR-extracted values without verification.</w:t>
            </w:r>
          </w:p>
          <w:p>
            <w:pPr>
              <w:spacing w:before="40" w:after="40"/>
            </w:pPr>
            <w:r>
              <w:rPr>
                <w:rFonts w:ascii="Arial" w:cs="Arial" w:eastAsia="Arial" w:hAnsi="Arial"/>
                <w:color w:val="444444"/>
                <w:sz w:val="20"/>
                <w:szCs w:val="20"/>
              </w:rPr>
              <w:t xml:space="preserve">The WHO classification engine does not account for dengue serology, NS1 status, or concurrent infections.</w:t>
            </w:r>
          </w:p>
          <w:p>
            <w:pPr>
              <w:spacing w:before="40" w:after="40"/>
            </w:pPr>
            <w:r>
              <w:rPr>
                <w:rFonts w:ascii="Arial" w:cs="Arial" w:eastAsia="Arial" w:hAnsi="Arial"/>
                <w:color w:val="444444"/>
                <w:sz w:val="20"/>
                <w:szCs w:val="20"/>
              </w:rPr>
              <w:t xml:space="preserve">This tool has not been validated in a prospective clinical trial. Validation is ongoing.</w:t>
            </w:r>
          </w:p>
        </w:tc>
      </w:tr>
    </w:tbl>
    <w:p>
      <w:pPr>
        <w:spacing w:before="60" w:after="60"/>
      </w:pPr>
      <w:r>
        <w:t xml:space="preserve"> </w:t>
      </w:r>
    </w:p>
    <w:p>
      <w:pPr>
        <w:pStyle w:val="Heading3"/>
        <w:spacing w:before="180" w:after="100"/>
      </w:pPr>
      <w:r>
        <w:rPr>
          <w:rFonts w:ascii="Arial" w:cs="Arial" w:eastAsia="Arial" w:hAnsi="Arial"/>
          <w:b/>
          <w:bCs/>
          <w:color w:val="1F6B9A"/>
          <w:sz w:val="24"/>
          <w:szCs w:val="24"/>
        </w:rPr>
        <w:t xml:space="preserve">Appropriate Clinical Use</w:t>
      </w:r>
    </w:p>
    <w:p>
      <w:pPr>
        <w:pStyle w:val="ListParagraph"/>
        <w:numPr>
          <w:ilvl w:val="0"/>
          <w:numId w:val="2"/>
        </w:numPr>
        <w:spacing w:before="50" w:after="50"/>
      </w:pPr>
      <w:r>
        <w:rPr>
          <w:rFonts w:ascii="Arial" w:cs="Arial" w:eastAsia="Arial" w:hAnsi="Arial"/>
          <w:color w:val="333333"/>
          <w:sz w:val="22"/>
          <w:szCs w:val="22"/>
        </w:rPr>
        <w:t xml:space="preserve">Use as a second-opinion tool alongside clinical assessment, not as a replacement</w:t>
      </w:r>
    </w:p>
    <w:p>
      <w:pPr>
        <w:pStyle w:val="ListParagraph"/>
        <w:numPr>
          <w:ilvl w:val="0"/>
          <w:numId w:val="2"/>
        </w:numPr>
        <w:spacing w:before="50" w:after="50"/>
      </w:pPr>
      <w:r>
        <w:rPr>
          <w:rFonts w:ascii="Arial" w:cs="Arial" w:eastAsia="Arial" w:hAnsi="Arial"/>
          <w:color w:val="333333"/>
          <w:sz w:val="22"/>
          <w:szCs w:val="22"/>
        </w:rPr>
        <w:t xml:space="preserve">OOD warning should prompt explicit clinical reassessment, not model override</w:t>
      </w:r>
    </w:p>
    <w:p>
      <w:pPr>
        <w:pStyle w:val="ListParagraph"/>
        <w:numPr>
          <w:ilvl w:val="0"/>
          <w:numId w:val="2"/>
        </w:numPr>
        <w:spacing w:before="50" w:after="50"/>
      </w:pPr>
      <w:r>
        <w:rPr>
          <w:rFonts w:ascii="Arial" w:cs="Arial" w:eastAsia="Arial" w:hAnsi="Arial"/>
          <w:color w:val="333333"/>
          <w:sz w:val="22"/>
          <w:szCs w:val="22"/>
        </w:rPr>
        <w:t xml:space="preserve">Wide CI (&gt;40 pp) means trust your clinical gestalt more than the number</w:t>
      </w:r>
    </w:p>
    <w:p>
      <w:pPr>
        <w:pStyle w:val="ListParagraph"/>
        <w:numPr>
          <w:ilvl w:val="0"/>
          <w:numId w:val="2"/>
        </w:numPr>
        <w:spacing w:before="50" w:after="50"/>
      </w:pPr>
      <w:r>
        <w:rPr>
          <w:rFonts w:ascii="Arial" w:cs="Arial" w:eastAsia="Arial" w:hAnsi="Arial"/>
          <w:color w:val="333333"/>
          <w:sz w:val="22"/>
          <w:szCs w:val="22"/>
        </w:rPr>
        <w:t xml:space="preserve">Discharge checklist is a cognitive aid; final discharge decision rests with the physician</w:t>
      </w:r>
    </w:p>
    <w:p>
      <w:pPr>
        <w:pStyle w:val="ListParagraph"/>
        <w:numPr>
          <w:ilvl w:val="0"/>
          <w:numId w:val="2"/>
        </w:numPr>
        <w:spacing w:before="50" w:after="50"/>
      </w:pPr>
      <w:r>
        <w:rPr>
          <w:rFonts w:ascii="Arial" w:cs="Arial" w:eastAsia="Arial" w:hAnsi="Arial"/>
          <w:color w:val="333333"/>
          <w:sz w:val="22"/>
          <w:szCs w:val="22"/>
        </w:rPr>
        <w:t xml:space="preserve">Alert suppression means the collapsed alerts section must still be reviewed, not ignored</w:t>
      </w:r>
    </w:p>
    <w:p>
      <w:pPr>
        <w:pBdr>
          <w:bottom w:val="single" w:color="2E75B6" w:sz="4" w:space="1"/>
        </w:pBdr>
        <w:spacing w:before="160" w:after="160"/>
      </w:pPr>
    </w:p>
    <w:p>
      <w:pPr>
        <w:spacing w:before="600" w:after="200"/>
        <w:jc w:val="center"/>
      </w:pPr>
      <w:r>
        <w:rPr>
          <w:rFonts w:ascii="Arial" w:cs="Arial" w:eastAsia="Arial" w:hAnsi="Arial"/>
          <w:b/>
          <w:bCs/>
          <w:color w:val="1A3A6B"/>
          <w:sz w:val="28"/>
          <w:szCs w:val="28"/>
        </w:rPr>
        <w:t xml:space="preserve">End of Documentation</w:t>
      </w:r>
    </w:p>
    <w:p>
      <w:pPr>
        <w:spacing w:before="0" w:after="200"/>
        <w:jc w:val="center"/>
      </w:pPr>
      <w:r>
        <w:rPr>
          <w:rFonts w:ascii="Arial" w:cs="Arial" w:eastAsia="Arial" w:hAnsi="Arial"/>
          <w:color w:val="888888"/>
          <w:sz w:val="20"/>
          <w:szCs w:val="20"/>
        </w:rPr>
        <w:t xml:space="preserve">Dengue CDSS Version 2.0  |  2025  |  annantgautam@linkedin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120"/>
    </w:pPr>
    <w:r>
      <w:rPr>
        <w:rFonts w:ascii="Arial" w:cs="Arial" w:eastAsia="Arial" w:hAnsi="Arial"/>
        <w:color w:val="888888"/>
        <w:sz w:val="16"/>
        <w:szCs w:val="16"/>
      </w:rPr>
      <w:t xml:space="preserve">Not a substitute for professional medical judgment</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b/>
        <w:bCs/>
        <w:color w:val="2E75B6"/>
        <w:sz w:val="20"/>
        <w:szCs w:val="20"/>
      </w:rPr>
      <w:t xml:space="preserve">Dengue CDSS  |  Technical &amp; Clinical Documentation</w:t>
    </w:r>
    <w:r>
      <w:rPr>
        <w:rFonts w:ascii="Arial" w:cs="Arial" w:eastAsia="Arial" w:hAnsi="Arial"/>
        <w:color w:val="888888"/>
        <w:sz w:val="18"/>
        <w:szCs w:val="18"/>
      </w:rPr>
      <w:t xml:space="preserve">     For Clinical Decision Support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A6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F6B9A"/>
      <w:sz w:val="24"/>
      <w:szCs w:val="24"/>
    </w:rPr>
  </w:style>
  <w:style w:type="paragraph" w:styleId="Heading4">
    <w:name w:val="Heading 4"/>
    <w:basedOn w:val="Normal"/>
    <w:next w:val="Normal"/>
    <w:qFormat/>
    <w:pPr>
      <w:spacing w:before="160" w:after="80"/>
      <w:outlineLvl w:val="3"/>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2026-03-03T09:24:17.820Z</dcterms:created>
  <dcterms:modified xsi:type="dcterms:W3CDTF">2026-03-03T09:24:17.821Z</dcterms:modified>
</cp:coreProperties>
</file>

<file path=docProps/custom.xml><?xml version="1.0" encoding="utf-8"?>
<Properties xmlns="http://schemas.openxmlformats.org/officeDocument/2006/custom-properties" xmlns:vt="http://schemas.openxmlformats.org/officeDocument/2006/docPropsVTypes"/>
</file>