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PROJECT SYNOPSIS</w:t>
      </w:r>
      <w:r>
        <w:rPr>
          <w:b/>
          <w:bCs/>
          <w:color w:val="C0392B"/>
          <w:sz w:val="36"/>
          <w:szCs w:val="36"/>
        </w:rPr>
        <w:t xml:space="preserve">PROJECT SYNOPSIS</w:t>
      </w:r>
    </w:p>
    <w:p>
      <w:pPr>
        <w:spacing w:after="400"/>
        <w:jc w:val="center"/>
      </w:pPr>
      <w:r>
        <w:t xml:space="preserve">Dengue Clinical Decision Support System: An AI-Powered Tool for Severe Dengue Risk Assessment and Platelet Trajectory Forecasting</w:t>
      </w:r>
    </w:p>
    <w:p>
      <w:pPr>
        <w:pStyle w:val="Heading1"/>
      </w:pPr>
      <w:r>
        <w:t xml:space="preserve">Executive Summary</w:t>
      </w:r>
    </w:p>
    <w:p>
      <w:pPr>
        <w:spacing w:after="200"/>
      </w:pPr>
      <w:r>
        <w:t xml:space="preserve">Dengue fever, a mosquito-borne viral illness endemic to tropical and subtropical regions, affects approximately 390 million people annually, with 96 million manifesting clinical symptoms. Early identification of patients at risk for severe dengue—characterized by plasma leakage, hemorrhage, or organ impairment—is critical for reducing mortality through timely intensive care intervention. However, clinical risk stratification remains challenging, particularly in resource-limited settings where dengue burden is highest.</w:t>
      </w:r>
    </w:p>
    <w:p>
      <w:pPr>
        <w:spacing w:after="200"/>
      </w:pPr>
      <w:r>
        <w:t xml:space="preserve">This project presents a comprehensive Clinical Decision Support System (CDSS) that leverages machine learning to provide real-time severe dengue risk assessment and platelet trajectory forecasting. Developed through analysis of 2,455 dengue patient records, the system employs a dual-branch architecture: a Random Forest classifier achieving 99.6% accuracy in risk stratification (with zero false negatives), and a Linear Regression model providing 24-hour platelet forecasts with R²=0.9945. The system integrates SHAP-based explainability, a novel clinical rule engine for urine output assessment, and an intuitive web interface designed for zero-learning-curve deployment in emergency departments and inpatient wards.</w:t>
      </w:r>
    </w:p>
    <w:p>
      <w:pPr>
        <w:spacing w:after="300"/>
      </w:pPr>
      <w:r>
        <w:t xml:space="preserve">Key innovations include: (1) monsoon-weighted seasonal risk scoring for epidemiological context, (2) hybrid AI architecture combining data-driven predictions with physiologically-grounded clinical rules, (3) real-time urine output integration as a hemodynamic biomarker, (4) SHAP-powered explanations enabling clinical validation of predictions, and (5) ephemeral session-based architecture ensuring HIPAA-compliant data privacy. The system operates with sub-2-second inference latency and has been designed for seamless integration into existing clinical workflows.</w:t>
      </w:r>
    </w:p>
    <w:p>
      <w:pPr>
        <w:pStyle w:val="Heading1"/>
      </w:pPr>
      <w:r>
        <w:t xml:space="preserve">1. Problem Statement and Clinical Need</w:t>
      </w:r>
    </w:p>
    <w:p>
      <w:pPr>
        <w:pStyle w:val="Heading2"/>
      </w:pPr>
      <w:r>
        <w:t xml:space="preserve">1.1 Dengue as a Global Health Challenge</w:t>
      </w:r>
    </w:p>
    <w:p>
      <w:pPr>
        <w:spacing w:after="200"/>
      </w:pPr>
      <w:r>
        <w:t xml:space="preserve">Dengue represents one of the fastest-growing vector-borne diseases globally, with incidence increasing 30-fold over the past five decades. The WHO estimates 3.9 billion people across 129 countries are at risk of dengue infection. Climate change, urbanization, and global travel have expanded the geographic range of Aedes aegypti and Aedes albopictus mosquito vectors, introducing dengue to previously unaffected regions.</w:t>
      </w:r>
    </w:p>
    <w:p>
      <w:pPr>
        <w:spacing w:after="250"/>
      </w:pPr>
      <w:r>
        <w:t xml:space="preserve">While the majority of dengue infections are mild or asymptomatic, approximately 5-10% progress to severe dengue (previously termed dengue hemorrhagic fever or dengue shock syndrome). Severe dengue carries a mortality rate of 10-20% if untreated, but this can be reduced to &lt;1% with appropriate intensive care management. The critical challenge lies in early identification of at-risk patients during the narrow window between initial presentation and potential decompensation.</w:t>
      </w:r>
    </w:p>
    <w:p>
      <w:pPr>
        <w:pStyle w:val="Heading2"/>
      </w:pPr>
      <w:r>
        <w:t xml:space="preserve">1.2 Limitations of Current Clinical Risk Stratification</w:t>
      </w:r>
    </w:p>
    <w:p>
      <w:pPr>
        <w:spacing w:after="150"/>
      </w:pPr>
      <w:r>
        <w:t xml:space="preserve">Existing approaches to dengue risk assessment face several limitations:</w:t>
      </w:r>
    </w:p>
    <w:p>
      <w:pPr>
        <w:pStyle w:val="ListParagraph"/>
        <w:numPr>
          <w:ilvl w:val="0"/>
          <w:numId w:val="2"/>
        </w:numPr>
      </w:pPr>
      <w:r>
        <w:t xml:space="preserve">Subjective Interpretation: WHO warning signs (abdominal pain, persistent vomiting, mucosal bleeding, lethargy, hepatomegaly) rely on clinical judgment and may be interpreted inconsistently across providers</w:t>
      </w:r>
    </w:p>
    <w:p>
      <w:pPr>
        <w:pStyle w:val="ListParagraph"/>
        <w:numPr>
          <w:ilvl w:val="0"/>
          <w:numId w:val="2"/>
        </w:numPr>
      </w:pPr>
      <w:r>
        <w:t xml:space="preserve">Late Detection: Many warning signs manifest during the critical phase (days 4-6), providing limited lead time for intervention</w:t>
      </w:r>
    </w:p>
    <w:p>
      <w:pPr>
        <w:pStyle w:val="ListParagraph"/>
        <w:numPr>
          <w:ilvl w:val="0"/>
          <w:numId w:val="2"/>
        </w:numPr>
      </w:pPr>
      <w:r>
        <w:t xml:space="preserve">Resource Constraints: In endemic regions with high patient volumes, clinicians lack time for continuous manual monitoring of evolving laboratory trends</w:t>
      </w:r>
    </w:p>
    <w:p>
      <w:pPr>
        <w:pStyle w:val="ListParagraph"/>
        <w:numPr>
          <w:ilvl w:val="0"/>
          <w:numId w:val="2"/>
        </w:numPr>
      </w:pPr>
      <w:r>
        <w:t xml:space="preserve">Platelet Trajectory Uncertainty: While thrombocytopenia is a hallmark of dengue, predicting which patients will experience precipitous platelet drops remains difficult</w:t>
      </w:r>
    </w:p>
    <w:p>
      <w:pPr>
        <w:pStyle w:val="ListParagraph"/>
        <w:numPr>
          <w:ilvl w:val="0"/>
          <w:numId w:val="2"/>
        </w:numPr>
      </w:pPr>
      <w:r>
        <w:t xml:space="preserve">Lack of Integrated Decision Support: Clinical data often fragmented across paper charts, laboratory systems, and bedside monitors</w:t>
      </w:r>
    </w:p>
    <w:p>
      <w:pPr>
        <w:spacing w:after="300"/>
      </w:pPr>
    </w:p>
    <w:p>
      <w:pPr>
        <w:pStyle w:val="Heading1"/>
      </w:pPr>
      <w:r>
        <w:t xml:space="preserve">2. Solution Overview and System Architecture</w:t>
      </w:r>
    </w:p>
    <w:p>
      <w:pPr>
        <w:pStyle w:val="Heading2"/>
      </w:pPr>
      <w:r>
        <w:t xml:space="preserve">2.1 Core Capabilities</w:t>
      </w:r>
    </w:p>
    <w:p>
      <w:pPr>
        <w:spacing w:after="150"/>
      </w:pPr>
      <w:r>
        <w:t xml:space="preserve">The Dengue CDSS provides three integrated capabilities:</w:t>
      </w:r>
    </w:p>
    <w:p>
      <w:pPr>
        <w:pStyle w:val="ListParagraph"/>
        <w:numPr>
          <w:ilvl w:val="0"/>
          <w:numId w:val="2"/>
        </w:numPr>
      </w:pPr>
      <w:r>
        <w:t xml:space="preserve">Severe Dengue Risk Stratification: Binary classification (Low Risk vs. High Risk) with continuous probability score (0.0-1.0). 99.6% accuracy, 100% sensitivity (zero false negatives), 99.2% specificity</w:t>
      </w:r>
    </w:p>
    <w:p>
      <w:pPr>
        <w:pStyle w:val="ListParagraph"/>
        <w:numPr>
          <w:ilvl w:val="0"/>
          <w:numId w:val="2"/>
        </w:numPr>
      </w:pPr>
      <w:r>
        <w:t xml:space="preserve">24-Hour Platelet Trajectory Forecasting: Linear regression-based prediction of next-day platelet count with danger zone alerts (&lt;50,000 cells/μL). R²=0.9945, MAE=2,238 cells/μL</w:t>
      </w:r>
    </w:p>
    <w:p>
      <w:pPr>
        <w:pStyle w:val="ListParagraph"/>
        <w:numPr>
          <w:ilvl w:val="0"/>
          <w:numId w:val="2"/>
        </w:numPr>
      </w:pPr>
      <w:r>
        <w:t xml:space="preserve">Real-Time Clinical Dashboard: Interactive visualization of longitudinal vitals, AI-powered risk assessment with SHAP explanations, automated hemodynamic calculations, and context-aware clinical recommendations</w:t>
      </w:r>
    </w:p>
    <w:p>
      <w:pPr>
        <w:spacing w:after="200"/>
      </w:pPr>
    </w:p>
    <w:p>
      <w:pPr>
        <w:shd w:fill="F0F0F0" w:val="clear"/>
        <w:spacing w:before="100" w:after="250"/>
      </w:pPr>
      <w:r>
        <w:t xml:space="preserve">[PLACEHOLDER: Insert Figure - System Architecture Overview (4-Tier Design)]</w:t>
      </w:r>
    </w:p>
    <w:p>
      <w:pPr>
        <w:pStyle w:val="Heading2"/>
      </w:pPr>
      <w:r>
        <w:t xml:space="preserve">2.2 Technical Architecture</w:t>
      </w:r>
    </w:p>
    <w:p>
      <w:pPr>
        <w:spacing w:after="150"/>
      </w:pPr>
      <w:r>
        <w:t xml:space="preserve">The system employs a four-tier architecture:</w:t>
      </w:r>
    </w:p>
    <w:p>
      <w:pPr>
        <w:pStyle w:val="ListParagraph"/>
        <w:numPr>
          <w:ilvl w:val="0"/>
          <w:numId w:val="2"/>
        </w:numPr>
      </w:pPr>
      <w:r>
        <w:t xml:space="preserve">Tier 1 - Web Interface (Streamlit): Dual-panel layout with left sidebar for data entry and main panel for visualization. Supports iterative entry of up to 5 serial reports (A-E) with timestamp-based organization</w:t>
      </w:r>
    </w:p>
    <w:p>
      <w:pPr>
        <w:pStyle w:val="ListParagraph"/>
        <w:numPr>
          <w:ilvl w:val="0"/>
          <w:numId w:val="2"/>
        </w:numPr>
      </w:pPr>
      <w:r>
        <w:t xml:space="preserve">Tier 2 - Application Logic Layer: Session state manager, calculation engine for hemodynamic metrics (MAP, Shock Index, Pulse Pressure), feature engineering pipeline, and visualization generators</w:t>
      </w:r>
    </w:p>
    <w:p>
      <w:pPr>
        <w:pStyle w:val="ListParagraph"/>
        <w:numPr>
          <w:ilvl w:val="0"/>
          <w:numId w:val="2"/>
        </w:numPr>
      </w:pPr>
      <w:r>
        <w:t xml:space="preserve">Tier 3 - ML Inference Layer: Cached trained models (Random Forest + Linear Regression), SHAP TreeExplainer for feature attribution, clinical rule engine for urine output risk adjustment</w:t>
      </w:r>
    </w:p>
    <w:p>
      <w:pPr>
        <w:pStyle w:val="ListParagraph"/>
        <w:numPr>
          <w:ilvl w:val="0"/>
          <w:numId w:val="2"/>
        </w:numPr>
      </w:pPr>
      <w:r>
        <w:t xml:space="preserve">Tier 4 - Data &amp; Model Persistence: Training data (dengue_data_cleaned_debug.csv), serialized model artifacts (loaded via @st.cache_resource), PDF export layer (FPDF)</w:t>
      </w:r>
    </w:p>
    <w:p>
      <w:pPr>
        <w:spacing w:after="300"/>
      </w:pPr>
    </w:p>
    <w:p>
      <w:pPr>
        <w:pStyle w:val="Heading1"/>
      </w:pPr>
      <w:r>
        <w:t xml:space="preserve">3. Key Innovations and Contributions</w:t>
      </w:r>
    </w:p>
    <w:p>
      <w:pPr>
        <w:pStyle w:val="Heading2"/>
      </w:pPr>
      <w:r>
        <w:t xml:space="preserve">3.1 Monsoon-Weighted Seasonal Risk Scoring</w:t>
      </w:r>
    </w:p>
    <w:p>
      <w:pPr>
        <w:spacing w:after="250"/>
      </w:pPr>
      <w:r>
        <w:t xml:space="preserve">A novel epidemiological feature that quantifies temporal dengue transmission risk based on assessment date. Winter (Dec-Feb): Score=0, Spring (Mar-May): Score=1, Monsoon (Jun-Sep): Score=3, Post-Monsoon (Oct-Nov): Score=2. This feature captures the 75% concentration of annual dengue cases during monsoon periods, enabling the model to weight predictions based on epidemic context.</w:t>
      </w:r>
    </w:p>
    <w:p>
      <w:pPr>
        <w:pStyle w:val="Heading2"/>
      </w:pPr>
      <w:r>
        <w:t xml:space="preserve">3.2 Hybrid AI: ML + Clinical Rule Engine</w:t>
      </w:r>
    </w:p>
    <w:p>
      <w:pPr>
        <w:spacing w:after="250"/>
      </w:pPr>
      <w:r>
        <w:t xml:space="preserve">Unlike purely data-driven approaches, this CDSS augments ML predictions with physiologically-grounded clinical rules. The urine output integration exemplifies this hybrid design: real-time urine rate (mL/kg/hr) adjusts the base ML risk score using evidence-based thresholds. Oliguria (&lt;0.5 mL/kg/hr) increases risk by +0.28, while normal output (1.0-2.0 mL/kg/hr) decreases risk by -0.06. This approach addresses a fundamental ML limitation: inability to incorporate real-time biomarkers absent from historical training data.</w:t>
      </w:r>
    </w:p>
    <w:p>
      <w:pPr>
        <w:pStyle w:val="Heading2"/>
      </w:pPr>
      <w:r>
        <w:t xml:space="preserve">3.3 SHAP-Powered Clinical Explainability</w:t>
      </w:r>
    </w:p>
    <w:p>
      <w:pPr>
        <w:spacing w:after="250"/>
      </w:pPr>
      <w:r>
        <w:t xml:space="preserve">Integration of SHapley Additive exPlanations (SHAP) transforms the 'black box' Random Forest into a transparent decision aid. For each patient, the system generates a horizontal bar chart ranking the top 8 features by contribution to risk prediction. This enables clinicians to validate predictions against domain knowledge (e.g., 'Does this high-risk classification make sense given the patient's platelet count of 45,000?') and identify potentially spurious patterns.</w:t>
      </w:r>
    </w:p>
    <w:p>
      <w:pPr>
        <w:pStyle w:val="Heading2"/>
      </w:pPr>
      <w:r>
        <w:t xml:space="preserve">3.4 Zero-Persistence Privacy Architecture</w:t>
      </w:r>
    </w:p>
    <w:p>
      <w:pPr>
        <w:spacing w:after="300"/>
      </w:pPr>
      <w:r>
        <w:t xml:space="preserve">All patient data resides exclusively in ephemeral session state (st.session_state) with zero persistence to disk, databases, or cloud storage. Data is automatically purged upon browser session termination, ensuring HIPAA compliance without complex database encryption or audit logging infrastructure. This design prioritizes patient privacy while maintaining full clinical functionality.</w:t>
      </w:r>
    </w:p>
    <w:p>
      <w:pPr>
        <w:pStyle w:val="Heading1"/>
      </w:pPr>
      <w:r>
        <w:t xml:space="preserve">4. Performance Metrics and Validation Results</w:t>
      </w:r>
    </w:p>
    <w:p>
      <w:pPr>
        <w:pStyle w:val="Heading2"/>
      </w:pPr>
      <w:r>
        <w:t xml:space="preserve">4.1 Dataset Characteristics</w:t>
      </w:r>
    </w:p>
    <w:p>
      <w:pPr>
        <w:pStyle w:val="ListParagraph"/>
        <w:numPr>
          <w:ilvl w:val="0"/>
          <w:numId w:val="2"/>
        </w:numPr>
      </w:pPr>
      <w:r>
        <w:t xml:space="preserve">Total Patients: 2,455 clinically confirmed dengue cases</w:t>
      </w:r>
    </w:p>
    <w:p>
      <w:pPr>
        <w:pStyle w:val="ListParagraph"/>
        <w:numPr>
          <w:ilvl w:val="0"/>
          <w:numId w:val="2"/>
        </w:numPr>
      </w:pPr>
      <w:r>
        <w:t xml:space="preserve">Temporal Range: 2018-2024, with monsoon season emphasis (Jun-Sep)</w:t>
      </w:r>
    </w:p>
    <w:p>
      <w:pPr>
        <w:pStyle w:val="ListParagraph"/>
        <w:numPr>
          <w:ilvl w:val="0"/>
          <w:numId w:val="2"/>
        </w:numPr>
      </w:pPr>
      <w:r>
        <w:t xml:space="preserve">Gender Distribution: 50.1% Female, 49.9% Male (balanced)</w:t>
      </w:r>
    </w:p>
    <w:p>
      <w:pPr>
        <w:pStyle w:val="ListParagraph"/>
        <w:numPr>
          <w:ilvl w:val="0"/>
          <w:numId w:val="2"/>
        </w:numPr>
      </w:pPr>
      <w:r>
        <w:t xml:space="preserve">Risk Distribution: 46.4% High Risk, 53.6% Low Risk (balanced for training)</w:t>
      </w:r>
    </w:p>
    <w:p>
      <w:pPr>
        <w:pStyle w:val="ListParagraph"/>
        <w:numPr>
          <w:ilvl w:val="0"/>
          <w:numId w:val="2"/>
        </w:numPr>
      </w:pPr>
      <w:r>
        <w:t xml:space="preserve">Data Split: 70% training (n=1,719), 30% holdout test set (n=491)</w:t>
      </w:r>
    </w:p>
    <w:p>
      <w:pPr>
        <w:spacing w:after="200"/>
      </w:pPr>
    </w:p>
    <w:p>
      <w:pPr>
        <w:shd w:fill="F0F0F0" w:val="clear"/>
        <w:spacing w:before="100" w:after="150"/>
      </w:pPr>
      <w:r>
        <w:t xml:space="preserve">[PLACEHOLDER: Insert Figure - Gender Distribution Pie Chart]</w:t>
      </w:r>
    </w:p>
    <w:p>
      <w:pPr>
        <w:shd w:fill="F0F0F0" w:val="clear"/>
        <w:spacing w:before="100" w:after="250"/>
      </w:pPr>
      <w:r>
        <w:t xml:space="preserve">[PLACEHOLDER: Insert Figure - Risk Distribution (53.6% Low, 46.4% High)]</w:t>
      </w:r>
    </w:p>
    <w:p>
      <w:pPr>
        <w:pStyle w:val="Heading2"/>
      </w:pPr>
      <w:r>
        <w:t xml:space="preserve">4.2 Classification Performance</w:t>
      </w:r>
    </w:p>
    <w:p>
      <w:pPr>
        <w:spacing w:after="150"/>
      </w:pPr>
      <w:r>
        <w:t xml:space="preserve">Random Forest Classifier (Test Set n=491):</w:t>
      </w:r>
    </w:p>
    <w:p>
      <w:pPr>
        <w:pStyle w:val="ListParagraph"/>
        <w:numPr>
          <w:ilvl w:val="0"/>
          <w:numId w:val="2"/>
        </w:numPr>
      </w:pPr>
      <w:r>
        <w:t xml:space="preserve">Accuracy: 99.6% (490/491 correct)</w:t>
      </w:r>
    </w:p>
    <w:p>
      <w:pPr>
        <w:pStyle w:val="ListParagraph"/>
        <w:numPr>
          <w:ilvl w:val="0"/>
          <w:numId w:val="2"/>
        </w:numPr>
      </w:pPr>
      <w:r>
        <w:t xml:space="preserve">Sensitivity: 100.0% (0 false negatives - ZERO missed severe dengue cases)</w:t>
      </w:r>
    </w:p>
    <w:p>
      <w:pPr>
        <w:pStyle w:val="ListParagraph"/>
        <w:numPr>
          <w:ilvl w:val="0"/>
          <w:numId w:val="2"/>
        </w:numPr>
      </w:pPr>
      <w:r>
        <w:t xml:space="preserve">Specificity: 99.2% (minimal false alarms)</w:t>
      </w:r>
    </w:p>
    <w:p>
      <w:pPr>
        <w:pStyle w:val="ListParagraph"/>
        <w:numPr>
          <w:ilvl w:val="0"/>
          <w:numId w:val="2"/>
        </w:numPr>
      </w:pPr>
      <w:r>
        <w:t xml:space="preserve">Precision: 99.2%  (high positive predictive value)</w:t>
      </w:r>
    </w:p>
    <w:p>
      <w:pPr>
        <w:pStyle w:val="ListParagraph"/>
        <w:numPr>
          <w:ilvl w:val="0"/>
          <w:numId w:val="2"/>
        </w:numPr>
      </w:pPr>
      <w:r>
        <w:t xml:space="preserve">F1-Score: 99.6%</w:t>
      </w:r>
    </w:p>
    <w:p>
      <w:pPr>
        <w:pStyle w:val="ListParagraph"/>
        <w:numPr>
          <w:ilvl w:val="0"/>
          <w:numId w:val="2"/>
        </w:numPr>
      </w:pPr>
      <w:r>
        <w:t xml:space="preserve">Confusion Matrix: TN=247, FP=2, FN=0, TP=242</w:t>
      </w:r>
    </w:p>
    <w:p>
      <w:pPr>
        <w:spacing w:after="200"/>
      </w:pPr>
    </w:p>
    <w:p>
      <w:pPr>
        <w:shd w:fill="F0F0F0" w:val="clear"/>
        <w:spacing w:before="100" w:after="250"/>
      </w:pPr>
      <w:r>
        <w:t xml:space="preserve">[PLACEHOLDER: Insert Figure - Confusion Matrix Visualization]</w:t>
      </w:r>
    </w:p>
    <w:p>
      <w:pPr>
        <w:pStyle w:val="Heading2"/>
      </w:pPr>
      <w:r>
        <w:t xml:space="preserve">4.3 Regression Performance</w:t>
      </w:r>
    </w:p>
    <w:p>
      <w:pPr>
        <w:spacing w:after="150"/>
      </w:pPr>
      <w:r>
        <w:t xml:space="preserve">Linear Regression Platelet Forecaster:</w:t>
      </w:r>
    </w:p>
    <w:p>
      <w:pPr>
        <w:pStyle w:val="ListParagraph"/>
        <w:numPr>
          <w:ilvl w:val="0"/>
          <w:numId w:val="2"/>
        </w:numPr>
      </w:pPr>
      <w:r>
        <w:t xml:space="preserve">R² (Coefficient of Determination): 0.9945 (explains 99.45% of variance)</w:t>
      </w:r>
    </w:p>
    <w:p>
      <w:pPr>
        <w:pStyle w:val="ListParagraph"/>
        <w:numPr>
          <w:ilvl w:val="0"/>
          <w:numId w:val="2"/>
        </w:numPr>
      </w:pPr>
      <w:r>
        <w:t xml:space="preserve">Mean Absolute Error: 2,238 cells/μL (~2% of normal range)</w:t>
      </w:r>
    </w:p>
    <w:p>
      <w:pPr>
        <w:pStyle w:val="ListParagraph"/>
        <w:numPr>
          <w:ilvl w:val="0"/>
          <w:numId w:val="2"/>
        </w:numPr>
      </w:pPr>
      <w:r>
        <w:t xml:space="preserve">Root Mean Square Error: 3,127 cells/μL</w:t>
      </w:r>
    </w:p>
    <w:p>
      <w:pPr>
        <w:pStyle w:val="ListParagraph"/>
        <w:numPr>
          <w:ilvl w:val="0"/>
          <w:numId w:val="2"/>
        </w:numPr>
      </w:pPr>
      <w:r>
        <w:t xml:space="preserve">Clinical Validation: Prediction errors &lt;5% of typical platelet range</w:t>
      </w:r>
    </w:p>
    <w:p>
      <w:pPr>
        <w:spacing w:after="200"/>
      </w:pPr>
    </w:p>
    <w:p>
      <w:pPr>
        <w:shd w:fill="F0F0F0" w:val="clear"/>
        <w:spacing w:before="100" w:after="300"/>
      </w:pPr>
      <w:r>
        <w:t xml:space="preserve">[PLACEHOLDER: Insert Figure - Actual vs Predicted Platelets Scatter Plot]</w:t>
      </w:r>
    </w:p>
    <w:p>
      <w:r>
        <w:br w:type="page"/>
      </w:r>
    </w:p>
    <w:p>
      <w:pPr>
        <w:pStyle w:val="Heading1"/>
      </w:pPr>
      <w:r>
        <w:t xml:space="preserve">5. Clinical Workflow and User Experience</w:t>
      </w:r>
    </w:p>
    <w:p>
      <w:pPr>
        <w:pStyle w:val="Heading2"/>
      </w:pPr>
      <w:r>
        <w:t xml:space="preserve">5.1 Typical Use Case Scenario</w:t>
      </w:r>
    </w:p>
    <w:p>
      <w:pPr>
        <w:spacing w:after="150"/>
      </w:pPr>
      <w:r>
        <w:t xml:space="preserve">Dr. Sharma, an emergency physician in a dengue-endemic region, encounters a 34-year-old female with 5-day fever, headache, and myalgia. Initial CBC shows platelets 85,000/μL (mild thrombocytopenia). She enters the patient's demographics and first report (Report A) into the CDSS:</w:t>
      </w:r>
    </w:p>
    <w:p>
      <w:pPr>
        <w:pStyle w:val="ListParagraph"/>
        <w:numPr>
          <w:ilvl w:val="0"/>
          <w:numId w:val="2"/>
        </w:numPr>
      </w:pPr>
      <w:r>
        <w:t xml:space="preserve">Lab values: Platelets 85,000, Hb 13.2 g/dL, Hct 42%</w:t>
      </w:r>
    </w:p>
    <w:p>
      <w:pPr>
        <w:pStyle w:val="ListParagraph"/>
        <w:numPr>
          <w:ilvl w:val="0"/>
          <w:numId w:val="2"/>
        </w:numPr>
      </w:pPr>
      <w:r>
        <w:t xml:space="preserve">Vitals: BP 110/70 mmHg, HR 88 bpm → System auto-calculates MAP=83, SI=0.8, PP=40</w:t>
      </w:r>
    </w:p>
    <w:p>
      <w:pPr>
        <w:pStyle w:val="ListParagraph"/>
        <w:numPr>
          <w:ilvl w:val="0"/>
          <w:numId w:val="2"/>
        </w:numPr>
      </w:pPr>
      <w:r>
        <w:t xml:space="preserve">Symptoms: Fever, headache, joint pain (no bleeding, no vomiting)</w:t>
      </w:r>
    </w:p>
    <w:p>
      <w:pPr>
        <w:pStyle w:val="ListParagraph"/>
        <w:numPr>
          <w:ilvl w:val="0"/>
          <w:numId w:val="2"/>
        </w:numPr>
      </w:pPr>
      <w:r>
        <w:t xml:space="preserve">WHO Signs: None currently</w:t>
      </w:r>
    </w:p>
    <w:p>
      <w:pPr>
        <w:pStyle w:val="ListParagraph"/>
        <w:numPr>
          <w:ilvl w:val="0"/>
          <w:numId w:val="2"/>
        </w:numPr>
      </w:pPr>
      <w:r>
        <w:t xml:space="preserve">Date: July 15, 2024 (monsoon season → Season_Risk=3)</w:t>
      </w:r>
    </w:p>
    <w:p>
      <w:pPr>
        <w:spacing w:after="200"/>
      </w:pPr>
    </w:p>
    <w:p>
      <w:pPr>
        <w:spacing w:after="200"/>
      </w:pPr>
      <w:r>
        <w:t xml:space="preserve">The system classifies the patient as Low Risk (35% probability) based on current presentation. Dr. Sharma admits the patient for observation and schedules 12-hour repeat CBC per standard protocol.</w:t>
      </w:r>
    </w:p>
    <w:p>
      <w:pPr>
        <w:spacing w:after="150"/>
      </w:pPr>
      <w:r>
        <w:t xml:space="preserve">Twelve hours later (Report B), platelets have dropped to 52,000/μL, Hct increased to 48% (hemoconcentration), and the patient reports abdominal tenderness. Dr. Sharma updates the CDSS:</w:t>
      </w:r>
    </w:p>
    <w:p>
      <w:pPr>
        <w:pStyle w:val="ListParagraph"/>
        <w:numPr>
          <w:ilvl w:val="0"/>
          <w:numId w:val="2"/>
        </w:numPr>
      </w:pPr>
      <w:r>
        <w:t xml:space="preserve">New labs: Platelets 52,000, Hb 14.1 g/dL, Hct 48%</w:t>
      </w:r>
    </w:p>
    <w:p>
      <w:pPr>
        <w:pStyle w:val="ListParagraph"/>
        <w:numPr>
          <w:ilvl w:val="0"/>
          <w:numId w:val="2"/>
        </w:numPr>
      </w:pPr>
      <w:r>
        <w:t xml:space="preserve">Vitals: BP 105/72 mmHg, HR 102 bpm → MAP=83, SI=0.97 (⚠️ Shock alert), PP=33</w:t>
      </w:r>
    </w:p>
    <w:p>
      <w:pPr>
        <w:pStyle w:val="ListParagraph"/>
        <w:numPr>
          <w:ilvl w:val="0"/>
          <w:numId w:val="2"/>
        </w:numPr>
      </w:pPr>
      <w:r>
        <w:t xml:space="preserve">New WHO signs: Abdominal pain</w:t>
      </w:r>
    </w:p>
    <w:p>
      <w:pPr>
        <w:pStyle w:val="ListParagraph"/>
        <w:numPr>
          <w:ilvl w:val="0"/>
          <w:numId w:val="2"/>
        </w:numPr>
      </w:pPr>
      <w:r>
        <w:t xml:space="preserve">Urine tracking enabled: 200 mL over 4 hours, patient weighs 55 kg → Rate = 0.91 mL/kg/hr (borderline low → +0.14 risk adjustment)</w:t>
      </w:r>
    </w:p>
    <w:p>
      <w:pPr>
        <w:spacing w:after="200"/>
      </w:pPr>
    </w:p>
    <w:p>
      <w:pPr>
        <w:spacing w:after="200"/>
      </w:pPr>
      <w:r>
        <w:t xml:space="preserve">The system now classifies the patient as High Risk (78% probability, CRITICAL). The platelet trajectory forecaster predicts 24-hour platelets of 38,000/μL (danger zone &lt;50k). SHAP analysis shows top risk drivers: platelet count (+++), hematocrit (++), shock index (++), WHO abdominal pain (+), urine borderline (+).</w:t>
      </w:r>
    </w:p>
    <w:p>
      <w:pPr>
        <w:spacing w:after="300"/>
      </w:pPr>
      <w:r>
        <w:t xml:space="preserve">Based on the CDSS alert, Dr. Sharma upgrades the patient to ICU for close monitoring (vitals q2h, CBC q4h), initiates conservative fluid resuscitation per WHO protocol, and notifies the attending intensivist. The patient stabilizes with supportive care and is discharged on day 6 without complications.</w:t>
      </w:r>
    </w:p>
    <w:p>
      <w:pPr>
        <w:shd w:fill="F0F0F0" w:val="clear"/>
        <w:spacing w:before="100" w:after="250"/>
      </w:pPr>
      <w:r>
        <w:t xml:space="preserve">[PLACEHOLDER: Insert Figure - Clinical Workflow Swim Lane Diagram]</w:t>
      </w:r>
    </w:p>
    <w:p>
      <w:pPr>
        <w:pStyle w:val="Heading2"/>
      </w:pPr>
      <w:r>
        <w:t xml:space="preserve">5.2 Key User Interface Features</w:t>
      </w:r>
    </w:p>
    <w:p>
      <w:pPr>
        <w:pStyle w:val="ListParagraph"/>
        <w:numPr>
          <w:ilvl w:val="0"/>
          <w:numId w:val="2"/>
        </w:numPr>
      </w:pPr>
      <w:r>
        <w:t xml:space="preserve">Progressive Disclosure: Optional features (body metrics, urine tracking) hidden behind toggles to minimize cognitive load</w:t>
      </w:r>
    </w:p>
    <w:p>
      <w:pPr>
        <w:pStyle w:val="ListParagraph"/>
        <w:numPr>
          <w:ilvl w:val="0"/>
          <w:numId w:val="2"/>
        </w:numPr>
      </w:pPr>
      <w:r>
        <w:t xml:space="preserve">Auto-fill Intelligence: Previous report values automatically populate new reports</w:t>
      </w:r>
    </w:p>
    <w:p>
      <w:pPr>
        <w:pStyle w:val="ListParagraph"/>
        <w:numPr>
          <w:ilvl w:val="0"/>
          <w:numId w:val="2"/>
        </w:numPr>
      </w:pPr>
      <w:r>
        <w:t xml:space="preserve">Real-Time Validation: Immediate feedback on physiologically implausible values</w:t>
      </w:r>
    </w:p>
    <w:p>
      <w:pPr>
        <w:pStyle w:val="ListParagraph"/>
        <w:numPr>
          <w:ilvl w:val="0"/>
          <w:numId w:val="2"/>
        </w:numPr>
      </w:pPr>
      <w:r>
        <w:t xml:space="preserve">Instant Urine Calculations: Live mL/kg/hr computation as clinician enters volume, time, weight</w:t>
      </w:r>
    </w:p>
    <w:p>
      <w:pPr>
        <w:pStyle w:val="ListParagraph"/>
        <w:numPr>
          <w:ilvl w:val="0"/>
          <w:numId w:val="2"/>
        </w:numPr>
      </w:pPr>
      <w:r>
        <w:t xml:space="preserve">Clear Data Management: Separate 'Clear Current Report' vs 'Clear All' buttons for safe data reset</w:t>
      </w:r>
    </w:p>
    <w:p>
      <w:pPr>
        <w:pStyle w:val="ListParagraph"/>
        <w:numPr>
          <w:ilvl w:val="0"/>
          <w:numId w:val="2"/>
        </w:numPr>
      </w:pPr>
      <w:r>
        <w:t xml:space="preserve">PDF Export: One-click download of comprehensive clinical report with embedded visualizations</w:t>
      </w:r>
    </w:p>
    <w:p>
      <w:pPr>
        <w:spacing w:after="300"/>
      </w:pPr>
    </w:p>
    <w:p>
      <w:pPr>
        <w:pStyle w:val="Heading1"/>
      </w:pPr>
      <w:r>
        <w:t xml:space="preserve">6. Clinical Impact and Future Development</w:t>
      </w:r>
    </w:p>
    <w:p>
      <w:pPr>
        <w:pStyle w:val="Heading2"/>
      </w:pPr>
      <w:r>
        <w:t xml:space="preserve">6.1 Potential Clinical Impact</w:t>
      </w:r>
    </w:p>
    <w:p>
      <w:pPr>
        <w:pStyle w:val="ListParagraph"/>
        <w:numPr>
          <w:ilvl w:val="0"/>
          <w:numId w:val="2"/>
        </w:numPr>
      </w:pPr>
      <w:r>
        <w:t xml:space="preserve">Reduced Mortality: Zero false negatives ensure no severe dengue cases are missed, potentially preventing progression to shock and multi-organ failure</w:t>
      </w:r>
    </w:p>
    <w:p>
      <w:pPr>
        <w:pStyle w:val="ListParagraph"/>
        <w:numPr>
          <w:ilvl w:val="0"/>
          <w:numId w:val="2"/>
        </w:numPr>
      </w:pPr>
      <w:r>
        <w:t xml:space="preserve">Optimized Resource Allocation: High specificity (99.2%) minimizes unnecessary ICU admissions for truly low-risk patients</w:t>
      </w:r>
    </w:p>
    <w:p>
      <w:pPr>
        <w:pStyle w:val="ListParagraph"/>
        <w:numPr>
          <w:ilvl w:val="0"/>
          <w:numId w:val="2"/>
        </w:numPr>
      </w:pPr>
      <w:r>
        <w:t xml:space="preserve">Early Intervention Window: Platelet trajectory forecasting provides 24-hour lead time for prophylactic interventions</w:t>
      </w:r>
    </w:p>
    <w:p>
      <w:pPr>
        <w:pStyle w:val="ListParagraph"/>
        <w:numPr>
          <w:ilvl w:val="0"/>
          <w:numId w:val="2"/>
        </w:numPr>
      </w:pPr>
      <w:r>
        <w:t xml:space="preserve">Standardized Care: Reduces inter-provider variability in risk assessment through objective, evidence-based predictions</w:t>
      </w:r>
    </w:p>
    <w:p>
      <w:pPr>
        <w:pStyle w:val="ListParagraph"/>
        <w:numPr>
          <w:ilvl w:val="0"/>
          <w:numId w:val="2"/>
        </w:numPr>
      </w:pPr>
      <w:r>
        <w:t xml:space="preserve">Educational Tool: SHAP explanations help train junior clinicians in dengue pathophysiology patterns</w:t>
      </w:r>
    </w:p>
    <w:p>
      <w:pPr>
        <w:spacing w:after="250"/>
      </w:pPr>
    </w:p>
    <w:p>
      <w:pPr>
        <w:pStyle w:val="Heading2"/>
      </w:pPr>
      <w:r>
        <w:t xml:space="preserve">6.2 Planned Enhancements</w:t>
      </w:r>
    </w:p>
    <w:p>
      <w:pPr>
        <w:pStyle w:val="ListParagraph"/>
        <w:numPr>
          <w:ilvl w:val="0"/>
          <w:numId w:val="2"/>
        </w:numPr>
      </w:pPr>
      <w:r>
        <w:t xml:space="preserve">Multi-Center Validation Study: Prospective RCT comparing CDSS-guided care vs. standard care across 5 hospitals in dengue-endemic regions (target enrollment: 1,000 patients)</w:t>
      </w:r>
    </w:p>
    <w:p>
      <w:pPr>
        <w:pStyle w:val="ListParagraph"/>
        <w:numPr>
          <w:ilvl w:val="0"/>
          <w:numId w:val="2"/>
        </w:numPr>
      </w:pPr>
      <w:r>
        <w:t xml:space="preserve">EHR Integration: HL7 FHIR API development for automated data ingestion from hospital information systems</w:t>
      </w:r>
    </w:p>
    <w:p>
      <w:pPr>
        <w:pStyle w:val="ListParagraph"/>
        <w:numPr>
          <w:ilvl w:val="0"/>
          <w:numId w:val="2"/>
        </w:numPr>
      </w:pPr>
      <w:r>
        <w:t xml:space="preserve">Mobile Application: Native iOS/Android apps for bedside use by ward nurses and paramedics</w:t>
      </w:r>
    </w:p>
    <w:p>
      <w:pPr>
        <w:pStyle w:val="ListParagraph"/>
        <w:numPr>
          <w:ilvl w:val="0"/>
          <w:numId w:val="2"/>
        </w:numPr>
      </w:pPr>
      <w:r>
        <w:t xml:space="preserve">Extended Biomarkers: Integration of NS1 antigen, IgM/IgG serology, AST/ALT, albumin, and ultrasound findings for plasma leakage quantification</w:t>
      </w:r>
    </w:p>
    <w:p>
      <w:pPr>
        <w:pStyle w:val="ListParagraph"/>
        <w:numPr>
          <w:ilvl w:val="0"/>
          <w:numId w:val="2"/>
        </w:numPr>
      </w:pPr>
      <w:r>
        <w:t xml:space="preserve">Non-Linear Forecasting: LSTM neural networks for capturing phase-specific platelet kinetics (febrile, critical, recovery phases)</w:t>
      </w:r>
    </w:p>
    <w:p>
      <w:pPr>
        <w:pStyle w:val="ListParagraph"/>
        <w:numPr>
          <w:ilvl w:val="0"/>
          <w:numId w:val="2"/>
        </w:numPr>
      </w:pPr>
      <w:r>
        <w:t xml:space="preserve">Continuous Learning Pipeline: Automated model retraining with new patient data while monitoring for distribution shift</w:t>
      </w:r>
    </w:p>
    <w:p>
      <w:pPr>
        <w:spacing w:after="300"/>
      </w:pPr>
    </w:p>
    <w:p>
      <w:pPr>
        <w:pStyle w:val="Heading1"/>
      </w:pPr>
      <w:r>
        <w:t xml:space="preserve">7. Conclusion</w:t>
      </w:r>
    </w:p>
    <w:p>
      <w:pPr>
        <w:spacing w:after="200"/>
      </w:pPr>
      <w:r>
        <w:t xml:space="preserve">This Dengue Clinical Decision Support System demonstrates that artificial intelligence can meaningfully augment clinical decision-making in resource-constrained settings where the disease burden is highest. By achieving exceptional predictive accuracy (99.6% classification, R²=0.9945 regression) while maintaining clinical interpretability through SHAP integration and hybrid AI design, the system bridges the gap between algorithmic performance and medical trust. The zero-persistence architecture ensures regulatory compliance without compromising real-time functionality, making the system practical for immediate clinical deployment.</w:t>
      </w:r>
    </w:p>
    <w:p>
      <w:pPr>
        <w:spacing w:after="200"/>
      </w:pPr>
      <w:r>
        <w:t xml:space="preserve">The project addresses a critical unmet need in dengue care: providing clinicians with an objective, evidence-based tool for early risk stratification and proactive intervention. As dengue continues to expand geographically due to climate change and urbanization, scalable decision support tools like this CDSS will become increasingly essential for reducing dengue-associated mortality and morbidity worldwide.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40" w:after="8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2026-02-13T22:45:10.503Z</dcterms:created>
  <dcterms:modified xsi:type="dcterms:W3CDTF">2026-02-13T22:45:10.504Z</dcterms:modified>
</cp:coreProperties>
</file>

<file path=docProps/custom.xml><?xml version="1.0" encoding="utf-8"?>
<Properties xmlns="http://schemas.openxmlformats.org/officeDocument/2006/custom-properties" xmlns:vt="http://schemas.openxmlformats.org/officeDocument/2006/docPropsVTypes"/>
</file>