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8855F" w14:textId="77777777" w:rsidR="00866C90" w:rsidRDefault="00866C90" w:rsidP="00C57009">
      <w:pPr>
        <w:pStyle w:val="Heading1"/>
        <w:jc w:val="center"/>
      </w:pPr>
      <w:r w:rsidRPr="00866C90">
        <w:t>Forecasting Consumer Credit Card Balances for Large Banks: A Time Series Analysis</w:t>
      </w:r>
    </w:p>
    <w:p w14:paraId="01CBF2FA" w14:textId="513F3B4A" w:rsidR="00C57009" w:rsidRPr="00980057" w:rsidRDefault="00C57009" w:rsidP="00C57009">
      <w:pPr>
        <w:jc w:val="center"/>
        <w:rPr>
          <w:sz w:val="24"/>
          <w:szCs w:val="24"/>
        </w:rPr>
      </w:pPr>
      <w:r w:rsidRPr="00980057">
        <w:rPr>
          <w:sz w:val="24"/>
          <w:szCs w:val="24"/>
        </w:rPr>
        <w:t>Rohan Satya Isaac</w:t>
      </w:r>
    </w:p>
    <w:p w14:paraId="3B879C35" w14:textId="77777777" w:rsidR="00866C90" w:rsidRDefault="00866C90" w:rsidP="00CD63F7">
      <w:pPr>
        <w:jc w:val="center"/>
      </w:pPr>
    </w:p>
    <w:p w14:paraId="31AAF1E7" w14:textId="203EACE0" w:rsidR="00866C90" w:rsidRDefault="00866C90" w:rsidP="00C57009">
      <w:pPr>
        <w:pStyle w:val="Heading2"/>
      </w:pPr>
      <w:r>
        <w:t>Abstract</w:t>
      </w:r>
    </w:p>
    <w:p w14:paraId="060EEDFC" w14:textId="77777777" w:rsidR="00866C90" w:rsidRDefault="00866C90" w:rsidP="00866C90">
      <w:r>
        <w:t>This research explores the quarterly trends of consumer credit card balances for large banks and aims to forecast future balances using advanced time series methods. Insights from this study can help banks in strategic decision-making, risk assessment, and resource allocation.</w:t>
      </w:r>
    </w:p>
    <w:p w14:paraId="05CC7F78" w14:textId="77777777" w:rsidR="00866C90" w:rsidRDefault="00866C90" w:rsidP="00866C90"/>
    <w:p w14:paraId="1142C470" w14:textId="6D3E3D4B" w:rsidR="00866C90" w:rsidRDefault="00866C90" w:rsidP="00C57009">
      <w:pPr>
        <w:pStyle w:val="Heading2"/>
      </w:pPr>
      <w:r>
        <w:t>Background Information</w:t>
      </w:r>
    </w:p>
    <w:p w14:paraId="47574609" w14:textId="4976A5BF" w:rsidR="00866C90" w:rsidRDefault="00866C90" w:rsidP="00866C90">
      <w:r>
        <w:t>Consumer credit card balances reflect the borrowing behavior of the population and provide insights into consumer confidence and financial health. For large banks, understanding these trends and forecasting future balances is crucial for optimizing lending strategies, managing risk, and anticipating market dynamics.</w:t>
      </w:r>
    </w:p>
    <w:p w14:paraId="4C0616B2" w14:textId="77777777" w:rsidR="00866C90" w:rsidRDefault="00866C90" w:rsidP="00866C90"/>
    <w:p w14:paraId="0D47B288" w14:textId="32F7B5B3" w:rsidR="00F00E43" w:rsidRPr="00F00E43" w:rsidRDefault="00866C90" w:rsidP="002E3CCD">
      <w:pPr>
        <w:pStyle w:val="Heading2"/>
      </w:pPr>
      <w:r>
        <w:t>Initial Literature Review</w:t>
      </w:r>
    </w:p>
    <w:p w14:paraId="66F8EE04" w14:textId="51B16E78" w:rsidR="006C2FEB" w:rsidRDefault="006C2FEB" w:rsidP="00866C90">
      <w:r w:rsidRPr="006C2FEB">
        <w:t>From a report published by CNBC on August 10, 2023</w:t>
      </w:r>
      <w:r>
        <w:t xml:space="preserve"> [1]</w:t>
      </w:r>
      <w:r w:rsidRPr="006C2FEB">
        <w:t xml:space="preserve">, it was highlighted that the U.S. is witnessing a growing reliance on credit. The New York Federal Reserve reported that total credit card debt in the U.S. crossed the $1 trillion threshold for the first time. This indicates an almost 20% increase in credit card balances from the previous year, leading to the average balance per consumer reaching $5,947 – the highest in the past decade. Furthermore, a striking 60% of cardholders who carry balances have been in this debt situation for over a year. The report also shed light on the challenges of high interest rates on borrowing, with the average credit card rate now soaring beyond 20%. Additionally, with the U.S. personal savings rate standing at 4.3%, significantly below the long-standing average of 8.9%, concerns about inflation's adverse effects on households have been raised. The credit card market has also seen a surge in participation from the younger generation, specifically Gen Z. Approximately 19 million new credit accounts were opened recently, bringing the total credit cards in circulation to a record 530.6 million. Despite this, delinquencies, defined as payments overdue by 90 days or more, have been on the rise. </w:t>
      </w:r>
    </w:p>
    <w:p w14:paraId="3A7BAC1C" w14:textId="6A964638" w:rsidR="006C2FEB" w:rsidRPr="006C2FEB" w:rsidRDefault="006C2FEB" w:rsidP="006C2FEB">
      <w:r w:rsidRPr="006C2FEB">
        <w:t>In another report released by the Consumer Financial Protection Bureau (CFPB) on October 25, 2023</w:t>
      </w:r>
      <w:r>
        <w:t xml:space="preserve"> [2]</w:t>
      </w:r>
      <w:r w:rsidRPr="006C2FEB">
        <w:t xml:space="preserve">, concerning insights into the consumer credit card market, it was found that in 2022 credit card companies charged consumers an astounding amount of over $105 billion in interest and more than $25 billion in fees. This has resulted in the unprecedented total credit card debt surpassing $1 trillion. Notably, the profits of credit card companies have exceeded pre-pandemic levels, suggesting a possible lack of competition in the industry. The annual percentage rates (APRs) have also been escalating, continuing to surpass major index rates. An alarming figure from the report was the combined charge of over $130 billion in interest and fees to cardholders in 2022. With the termination of pandemic relief programs, delinquency rates have been on the rise, exemplified by the substantial late fees amounting </w:t>
      </w:r>
      <w:r w:rsidRPr="006C2FEB">
        <w:lastRenderedPageBreak/>
        <w:t xml:space="preserve">to $14.5 billion. The report also highlighted the growing challenge of "persistent debt," where cardholders are charged more in interest and fees annually than what they pay toward the principal. This pattern could pose severe challenges for consumers, especially if interest rates stay elevated. Lastly, a significant shift towards digital communication in the credit card industry was noted, with </w:t>
      </w:r>
      <w:proofErr w:type="gramStart"/>
      <w:r w:rsidRPr="006C2FEB">
        <w:t>a majority of</w:t>
      </w:r>
      <w:proofErr w:type="gramEnd"/>
      <w:r w:rsidRPr="006C2FEB">
        <w:t xml:space="preserve"> cardholders now favoring mobile apps and digital portals for their card management and payment activities.</w:t>
      </w:r>
    </w:p>
    <w:p w14:paraId="3C12A2E7" w14:textId="77777777" w:rsidR="006C2FEB" w:rsidRDefault="006C2FEB" w:rsidP="00866C90"/>
    <w:p w14:paraId="190E30ED" w14:textId="47EE4B38" w:rsidR="00C57009" w:rsidRDefault="00866C90" w:rsidP="00C57009">
      <w:pPr>
        <w:pStyle w:val="Heading2"/>
      </w:pPr>
      <w:r>
        <w:t>Hypothesis/ Theories</w:t>
      </w:r>
    </w:p>
    <w:p w14:paraId="75AA42C8" w14:textId="1E88889C" w:rsidR="006A048F" w:rsidRPr="006A048F" w:rsidRDefault="006A048F" w:rsidP="006A048F">
      <w:r>
        <w:t>Through this project we will be testing the following hypotheses,</w:t>
      </w:r>
    </w:p>
    <w:p w14:paraId="4A91CD19" w14:textId="77777777" w:rsidR="00866C90" w:rsidRDefault="00866C90" w:rsidP="00866C90">
      <w:r>
        <w:t>H1: Seasonal trends influence consumer credit card balances, with certain quarters consistently showing higher balances.</w:t>
      </w:r>
    </w:p>
    <w:p w14:paraId="1BB62AC2" w14:textId="07465920" w:rsidR="006C2FEB" w:rsidRDefault="006C2FEB" w:rsidP="00866C90">
      <w:r w:rsidRPr="006C2FEB">
        <w:t>Based on patterns observed in consumer spending behaviors, it is postulated that there are specific times of the year when consumers are more likely to accumulate higher credit card balances. These times might coincide with major holidays, festive seasons, or school starting dates, during which consumer expenditure naturally increases. The hypothesis suggests that certain quarters will consistently demonstrate higher balances due to these seasonal shopping trends, regardless of broader economic conditions.</w:t>
      </w:r>
    </w:p>
    <w:p w14:paraId="567624E0" w14:textId="77777777" w:rsidR="00866C90" w:rsidRDefault="00866C90" w:rsidP="00866C90">
      <w:r>
        <w:t>H2: Economic downturns, as evidenced by events like the 2020 pandemic, have a significant effect on credit card balances.</w:t>
      </w:r>
    </w:p>
    <w:p w14:paraId="14343245" w14:textId="7CB6B818" w:rsidR="006C2FEB" w:rsidRDefault="006C2FEB" w:rsidP="00866C90">
      <w:r w:rsidRPr="006C2FEB">
        <w:t>The global economic slowdown caused by significant events, like the 2020 pandemic, is hypothesized to have a profound impact on how consumers utilize credit. With uncertainties surrounding employment and overall economic health, consumers might resort to credit cards as a primary source of funds, thus increasing their credit card balances. This theory suggests that during these economic downturns, there is a notable surge in credit card balances as consumers navigate financial challenges and unexpected expenses.</w:t>
      </w:r>
    </w:p>
    <w:p w14:paraId="0D9D4A4C" w14:textId="77777777" w:rsidR="002C4F4A" w:rsidRDefault="002C4F4A" w:rsidP="002C4F4A">
      <w:r>
        <w:t>H3: Advanced forecasting models can accurately predict consumer credit card balances in the future.</w:t>
      </w:r>
    </w:p>
    <w:p w14:paraId="49245304" w14:textId="0A8427E1" w:rsidR="002E3CCD" w:rsidRDefault="002C4F4A" w:rsidP="002C4F4A">
      <w:r>
        <w:t>By understanding underlying trends, seasonal patterns, and the impact of external factors, models like ARIMA, SARIMA, and Holt-Winters can provide insightful projections. This theory posits that, with the right data and methodology, future consumer behaviors in terms of credit card usage can be predicted, allowing financial institutions to better prepare and strategize.</w:t>
      </w:r>
    </w:p>
    <w:p w14:paraId="4589B976" w14:textId="77777777" w:rsidR="00424514" w:rsidRDefault="00424514" w:rsidP="002C4F4A"/>
    <w:p w14:paraId="13F95EDA" w14:textId="77E5658F" w:rsidR="006A048F" w:rsidRDefault="006A048F" w:rsidP="006A048F">
      <w:pPr>
        <w:pStyle w:val="Heading2"/>
      </w:pPr>
      <w:r>
        <w:t>Data Overview</w:t>
      </w:r>
      <w:r w:rsidR="006C5B2E">
        <w:t xml:space="preserve"> &amp; Visualization</w:t>
      </w:r>
    </w:p>
    <w:p w14:paraId="6E19EE45" w14:textId="5CE5F08B" w:rsidR="008B0E70" w:rsidRDefault="008B0E70" w:rsidP="008B0E70">
      <w:r>
        <w:t>The dataset consists of quarterly data from 2012 to 2023 on consumer credit card balances for large banks</w:t>
      </w:r>
      <w:r w:rsidR="00ED088E">
        <w:t xml:space="preserve"> in the U.S</w:t>
      </w:r>
      <w:r>
        <w:t>. The frequency of the data is quarterly.</w:t>
      </w:r>
    </w:p>
    <w:p w14:paraId="4DC0BC03" w14:textId="77777777" w:rsidR="008B0E70" w:rsidRDefault="008B0E70" w:rsidP="008B0E70">
      <w:r>
        <w:t xml:space="preserve">The data is extracted from </w:t>
      </w:r>
      <w:hyperlink r:id="rId6" w:history="1">
        <w:r w:rsidRPr="009A5A5F">
          <w:rPr>
            <w:rStyle w:val="Hyperlink"/>
          </w:rPr>
          <w:t>FRED</w:t>
        </w:r>
      </w:hyperlink>
      <w:r>
        <w:t xml:space="preserve"> which is sourced from Federal Reserve Bank of Philadelphia.</w:t>
      </w:r>
    </w:p>
    <w:p w14:paraId="0EF5CB33" w14:textId="3659046D" w:rsidR="008B0E70" w:rsidRPr="009A5A5F" w:rsidRDefault="008B0E70" w:rsidP="008B0E70">
      <w:r>
        <w:t>There is one series that shows the quarterly consumer credit card balances</w:t>
      </w:r>
      <w:r w:rsidR="00ED088E">
        <w:t xml:space="preserve"> and forms the main part of data for our analysis and forecasting results</w:t>
      </w:r>
      <w:r>
        <w:t>.</w:t>
      </w:r>
      <w:r w:rsidR="00ED088E">
        <w:t xml:space="preserve"> There are approximately 44 data points in the series.</w:t>
      </w:r>
    </w:p>
    <w:p w14:paraId="54707C0B" w14:textId="77777777" w:rsidR="008B0E70" w:rsidRPr="008B0E70" w:rsidRDefault="008B0E70" w:rsidP="008B0E70"/>
    <w:p w14:paraId="2933953E" w14:textId="77777777" w:rsidR="00ED088E" w:rsidRDefault="00ED088E" w:rsidP="002E3CCD">
      <w:pPr>
        <w:pStyle w:val="Heading2"/>
      </w:pPr>
    </w:p>
    <w:p w14:paraId="1A11B780" w14:textId="31AA1FE9" w:rsidR="006C5B2E" w:rsidRDefault="006C5B2E" w:rsidP="002E3CCD">
      <w:pPr>
        <w:pStyle w:val="Heading2"/>
      </w:pPr>
      <w:r w:rsidRPr="006C5B2E">
        <w:rPr>
          <w:noProof/>
        </w:rPr>
        <w:drawing>
          <wp:inline distT="0" distB="0" distL="0" distR="0" wp14:anchorId="6696EA1C" wp14:editId="64149B88">
            <wp:extent cx="5943600" cy="3740785"/>
            <wp:effectExtent l="0" t="0" r="0" b="0"/>
            <wp:docPr id="843219785" name="Picture 1" descr="Consumer Credit Card Ba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19785" name="Picture 1" descr="Consumer Credit Card Balances"/>
                    <pic:cNvPicPr/>
                  </pic:nvPicPr>
                  <pic:blipFill>
                    <a:blip r:embed="rId7"/>
                    <a:stretch>
                      <a:fillRect/>
                    </a:stretch>
                  </pic:blipFill>
                  <pic:spPr>
                    <a:xfrm>
                      <a:off x="0" y="0"/>
                      <a:ext cx="5943600" cy="3740785"/>
                    </a:xfrm>
                    <a:prstGeom prst="rect">
                      <a:avLst/>
                    </a:prstGeom>
                  </pic:spPr>
                </pic:pic>
              </a:graphicData>
            </a:graphic>
          </wp:inline>
        </w:drawing>
      </w:r>
    </w:p>
    <w:p w14:paraId="570E2776" w14:textId="7B3D87EE" w:rsidR="006C5B2E" w:rsidRPr="006C5B2E" w:rsidRDefault="006C5B2E" w:rsidP="006C5B2E">
      <w:pPr>
        <w:jc w:val="center"/>
      </w:pPr>
      <w:r>
        <w:t>Figure 1. Consumer credit card balances</w:t>
      </w:r>
    </w:p>
    <w:p w14:paraId="31361888" w14:textId="1F885B3B" w:rsidR="006C5B2E" w:rsidRDefault="006C5B2E" w:rsidP="006C5B2E">
      <w:r w:rsidRPr="006C5B2E">
        <w:t>Figure 1 presents a time series plot of consumer credit card balances from 2012 to 2023. The plot reveals a clear upward trajectory, punctuated by regular fluctuations that suggest seasonal or cyclical effects. Notably, a pronounced dip aligns with the 2020 economic downturn, illustrating the pandemic's immediate impact on consumer credit usage. This is followed by a sharp rebound, indicating a resurgence in credit card balances as economic conditions began to improve. This visual evidence supports the hypothesis that external economic events significantly affect consumer credit behavior, while also hinting at underlying seasonal patterns.</w:t>
      </w:r>
    </w:p>
    <w:p w14:paraId="4988AD0C" w14:textId="77777777" w:rsidR="00424514" w:rsidRPr="006C5B2E" w:rsidRDefault="00424514" w:rsidP="006C5B2E"/>
    <w:p w14:paraId="1437FCA4" w14:textId="77777777" w:rsidR="006C5B2E" w:rsidRDefault="006C5B2E" w:rsidP="006C5B2E">
      <w:pPr>
        <w:pStyle w:val="Heading2"/>
      </w:pPr>
      <w:r>
        <w:t>Summary statistics and data cleaning procedure</w:t>
      </w:r>
    </w:p>
    <w:p w14:paraId="42E3CD82" w14:textId="77777777" w:rsidR="006C5B2E" w:rsidRDefault="006C5B2E" w:rsidP="006C5B2E">
      <w:r>
        <w:t>The data has been verified for missing values and there are no missing values.</w:t>
      </w:r>
    </w:p>
    <w:p w14:paraId="384FDB54" w14:textId="1E1A4EAF" w:rsidR="006C5B2E" w:rsidRDefault="006C5B2E" w:rsidP="006C5B2E">
      <w:r>
        <w:t>The summary statistics of the data series is as follows,</w:t>
      </w:r>
    </w:p>
    <w:tbl>
      <w:tblPr>
        <w:tblW w:w="2515" w:type="dxa"/>
        <w:jc w:val="center"/>
        <w:tblLook w:val="04A0" w:firstRow="1" w:lastRow="0" w:firstColumn="1" w:lastColumn="0" w:noHBand="0" w:noVBand="1"/>
      </w:tblPr>
      <w:tblGrid>
        <w:gridCol w:w="1443"/>
        <w:gridCol w:w="1072"/>
      </w:tblGrid>
      <w:tr w:rsidR="006C5B2E" w:rsidRPr="000D49F6" w14:paraId="347FFDD3" w14:textId="77777777" w:rsidTr="00527327">
        <w:trPr>
          <w:trHeight w:val="300"/>
          <w:jc w:val="center"/>
        </w:trPr>
        <w:tc>
          <w:tcPr>
            <w:tcW w:w="14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DFCF4"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t>Frequency</w:t>
            </w:r>
          </w:p>
        </w:tc>
        <w:tc>
          <w:tcPr>
            <w:tcW w:w="1072" w:type="dxa"/>
            <w:tcBorders>
              <w:top w:val="single" w:sz="4" w:space="0" w:color="auto"/>
              <w:left w:val="nil"/>
              <w:bottom w:val="single" w:sz="4" w:space="0" w:color="auto"/>
              <w:right w:val="single" w:sz="4" w:space="0" w:color="auto"/>
            </w:tcBorders>
            <w:shd w:val="clear" w:color="auto" w:fill="auto"/>
            <w:noWrap/>
            <w:vAlign w:val="bottom"/>
            <w:hideMark/>
          </w:tcPr>
          <w:p w14:paraId="49FE1BDE" w14:textId="77777777" w:rsidR="006C5B2E" w:rsidRPr="000D49F6" w:rsidRDefault="006C5B2E" w:rsidP="00527327">
            <w:pPr>
              <w:spacing w:after="0" w:line="240" w:lineRule="auto"/>
              <w:rPr>
                <w:rFonts w:ascii="Calibri" w:eastAsia="Times New Roman" w:hAnsi="Calibri" w:cs="Calibri"/>
                <w:color w:val="000000"/>
                <w:lang w:bidi="hi-IN"/>
              </w:rPr>
            </w:pPr>
            <w:r w:rsidRPr="000D49F6">
              <w:rPr>
                <w:rFonts w:ascii="Calibri" w:eastAsia="Times New Roman" w:hAnsi="Calibri" w:cs="Calibri"/>
                <w:color w:val="000000"/>
                <w:lang w:bidi="hi-IN"/>
              </w:rPr>
              <w:t>Quarterly</w:t>
            </w:r>
          </w:p>
        </w:tc>
      </w:tr>
      <w:tr w:rsidR="006C5B2E" w:rsidRPr="000D49F6" w14:paraId="3739D33F" w14:textId="77777777" w:rsidTr="00527327">
        <w:trPr>
          <w:trHeight w:val="300"/>
          <w:jc w:val="center"/>
        </w:trPr>
        <w:tc>
          <w:tcPr>
            <w:tcW w:w="1443" w:type="dxa"/>
            <w:tcBorders>
              <w:top w:val="nil"/>
              <w:left w:val="single" w:sz="4" w:space="0" w:color="auto"/>
              <w:bottom w:val="single" w:sz="4" w:space="0" w:color="auto"/>
              <w:right w:val="single" w:sz="4" w:space="0" w:color="auto"/>
            </w:tcBorders>
            <w:shd w:val="clear" w:color="auto" w:fill="auto"/>
            <w:noWrap/>
            <w:vAlign w:val="bottom"/>
            <w:hideMark/>
          </w:tcPr>
          <w:p w14:paraId="2D3949E4"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t>data points</w:t>
            </w:r>
          </w:p>
        </w:tc>
        <w:tc>
          <w:tcPr>
            <w:tcW w:w="1072" w:type="dxa"/>
            <w:tcBorders>
              <w:top w:val="nil"/>
              <w:left w:val="nil"/>
              <w:bottom w:val="single" w:sz="4" w:space="0" w:color="auto"/>
              <w:right w:val="single" w:sz="4" w:space="0" w:color="auto"/>
            </w:tcBorders>
            <w:shd w:val="clear" w:color="auto" w:fill="auto"/>
            <w:noWrap/>
            <w:vAlign w:val="bottom"/>
            <w:hideMark/>
          </w:tcPr>
          <w:p w14:paraId="09D47930" w14:textId="77777777" w:rsidR="006C5B2E" w:rsidRPr="000D49F6" w:rsidRDefault="006C5B2E" w:rsidP="00527327">
            <w:pPr>
              <w:spacing w:after="0" w:line="240" w:lineRule="auto"/>
              <w:jc w:val="center"/>
              <w:rPr>
                <w:rFonts w:ascii="Calibri" w:eastAsia="Times New Roman" w:hAnsi="Calibri" w:cs="Calibri"/>
                <w:color w:val="000000"/>
                <w:lang w:bidi="hi-IN"/>
              </w:rPr>
            </w:pPr>
            <w:r w:rsidRPr="000D49F6">
              <w:rPr>
                <w:rFonts w:ascii="Calibri" w:eastAsia="Times New Roman" w:hAnsi="Calibri" w:cs="Calibri"/>
                <w:color w:val="000000"/>
                <w:lang w:bidi="hi-IN"/>
              </w:rPr>
              <w:t>44</w:t>
            </w:r>
          </w:p>
        </w:tc>
      </w:tr>
      <w:tr w:rsidR="006C5B2E" w:rsidRPr="000D49F6" w14:paraId="0AE36B21" w14:textId="77777777" w:rsidTr="00527327">
        <w:trPr>
          <w:trHeight w:val="300"/>
          <w:jc w:val="center"/>
        </w:trPr>
        <w:tc>
          <w:tcPr>
            <w:tcW w:w="1443" w:type="dxa"/>
            <w:tcBorders>
              <w:top w:val="nil"/>
              <w:left w:val="single" w:sz="4" w:space="0" w:color="auto"/>
              <w:bottom w:val="single" w:sz="4" w:space="0" w:color="auto"/>
              <w:right w:val="single" w:sz="4" w:space="0" w:color="auto"/>
            </w:tcBorders>
            <w:shd w:val="clear" w:color="auto" w:fill="auto"/>
            <w:noWrap/>
            <w:vAlign w:val="bottom"/>
            <w:hideMark/>
          </w:tcPr>
          <w:p w14:paraId="4069E331"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t>mean</w:t>
            </w:r>
          </w:p>
        </w:tc>
        <w:tc>
          <w:tcPr>
            <w:tcW w:w="1072" w:type="dxa"/>
            <w:tcBorders>
              <w:top w:val="nil"/>
              <w:left w:val="nil"/>
              <w:bottom w:val="single" w:sz="4" w:space="0" w:color="auto"/>
              <w:right w:val="single" w:sz="4" w:space="0" w:color="auto"/>
            </w:tcBorders>
            <w:shd w:val="clear" w:color="auto" w:fill="auto"/>
            <w:noWrap/>
            <w:vAlign w:val="bottom"/>
            <w:hideMark/>
          </w:tcPr>
          <w:p w14:paraId="393D9755" w14:textId="77777777" w:rsidR="006C5B2E" w:rsidRPr="000D49F6" w:rsidRDefault="006C5B2E" w:rsidP="00527327">
            <w:pPr>
              <w:spacing w:after="0" w:line="240" w:lineRule="auto"/>
              <w:jc w:val="center"/>
              <w:rPr>
                <w:rFonts w:ascii="Calibri" w:eastAsia="Times New Roman" w:hAnsi="Calibri" w:cs="Calibri"/>
                <w:color w:val="000000"/>
                <w:lang w:bidi="hi-IN"/>
              </w:rPr>
            </w:pPr>
            <w:r w:rsidRPr="000D49F6">
              <w:rPr>
                <w:rFonts w:ascii="Calibri" w:eastAsia="Times New Roman" w:hAnsi="Calibri" w:cs="Calibri"/>
                <w:color w:val="000000"/>
                <w:lang w:bidi="hi-IN"/>
              </w:rPr>
              <w:t>613.82</w:t>
            </w:r>
          </w:p>
        </w:tc>
      </w:tr>
      <w:tr w:rsidR="006C5B2E" w:rsidRPr="000D49F6" w14:paraId="75E2A259" w14:textId="77777777" w:rsidTr="00527327">
        <w:trPr>
          <w:trHeight w:val="300"/>
          <w:jc w:val="center"/>
        </w:trPr>
        <w:tc>
          <w:tcPr>
            <w:tcW w:w="1443" w:type="dxa"/>
            <w:tcBorders>
              <w:top w:val="nil"/>
              <w:left w:val="single" w:sz="4" w:space="0" w:color="auto"/>
              <w:bottom w:val="single" w:sz="4" w:space="0" w:color="auto"/>
              <w:right w:val="single" w:sz="4" w:space="0" w:color="auto"/>
            </w:tcBorders>
            <w:shd w:val="clear" w:color="auto" w:fill="auto"/>
            <w:noWrap/>
            <w:vAlign w:val="bottom"/>
            <w:hideMark/>
          </w:tcPr>
          <w:p w14:paraId="51917CE5"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t>median</w:t>
            </w:r>
          </w:p>
        </w:tc>
        <w:tc>
          <w:tcPr>
            <w:tcW w:w="1072" w:type="dxa"/>
            <w:tcBorders>
              <w:top w:val="nil"/>
              <w:left w:val="nil"/>
              <w:bottom w:val="single" w:sz="4" w:space="0" w:color="auto"/>
              <w:right w:val="single" w:sz="4" w:space="0" w:color="auto"/>
            </w:tcBorders>
            <w:shd w:val="clear" w:color="auto" w:fill="auto"/>
            <w:noWrap/>
            <w:vAlign w:val="bottom"/>
            <w:hideMark/>
          </w:tcPr>
          <w:p w14:paraId="557147F7" w14:textId="77777777" w:rsidR="006C5B2E" w:rsidRPr="000D49F6" w:rsidRDefault="006C5B2E" w:rsidP="00527327">
            <w:pPr>
              <w:spacing w:after="0" w:line="240" w:lineRule="auto"/>
              <w:jc w:val="center"/>
              <w:rPr>
                <w:rFonts w:ascii="Calibri" w:eastAsia="Times New Roman" w:hAnsi="Calibri" w:cs="Calibri"/>
                <w:color w:val="000000"/>
                <w:lang w:bidi="hi-IN"/>
              </w:rPr>
            </w:pPr>
            <w:r w:rsidRPr="000D49F6">
              <w:rPr>
                <w:rFonts w:ascii="Calibri" w:eastAsia="Times New Roman" w:hAnsi="Calibri" w:cs="Calibri"/>
                <w:color w:val="000000"/>
                <w:lang w:bidi="hi-IN"/>
              </w:rPr>
              <w:t>609.15</w:t>
            </w:r>
          </w:p>
        </w:tc>
      </w:tr>
      <w:tr w:rsidR="006C5B2E" w:rsidRPr="000D49F6" w14:paraId="6DE7757E" w14:textId="77777777" w:rsidTr="00527327">
        <w:trPr>
          <w:trHeight w:val="300"/>
          <w:jc w:val="center"/>
        </w:trPr>
        <w:tc>
          <w:tcPr>
            <w:tcW w:w="1443" w:type="dxa"/>
            <w:tcBorders>
              <w:top w:val="nil"/>
              <w:left w:val="single" w:sz="4" w:space="0" w:color="auto"/>
              <w:bottom w:val="single" w:sz="4" w:space="0" w:color="auto"/>
              <w:right w:val="single" w:sz="4" w:space="0" w:color="auto"/>
            </w:tcBorders>
            <w:shd w:val="clear" w:color="auto" w:fill="auto"/>
            <w:noWrap/>
            <w:vAlign w:val="bottom"/>
            <w:hideMark/>
          </w:tcPr>
          <w:p w14:paraId="127B2573"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t>std dev</w:t>
            </w:r>
          </w:p>
        </w:tc>
        <w:tc>
          <w:tcPr>
            <w:tcW w:w="1072" w:type="dxa"/>
            <w:tcBorders>
              <w:top w:val="nil"/>
              <w:left w:val="nil"/>
              <w:bottom w:val="single" w:sz="4" w:space="0" w:color="auto"/>
              <w:right w:val="single" w:sz="4" w:space="0" w:color="auto"/>
            </w:tcBorders>
            <w:shd w:val="clear" w:color="auto" w:fill="auto"/>
            <w:noWrap/>
            <w:vAlign w:val="bottom"/>
            <w:hideMark/>
          </w:tcPr>
          <w:p w14:paraId="19585CA9" w14:textId="77777777" w:rsidR="006C5B2E" w:rsidRPr="000D49F6" w:rsidRDefault="006C5B2E" w:rsidP="00527327">
            <w:pPr>
              <w:spacing w:after="0" w:line="240" w:lineRule="auto"/>
              <w:jc w:val="center"/>
              <w:rPr>
                <w:rFonts w:ascii="Calibri" w:eastAsia="Times New Roman" w:hAnsi="Calibri" w:cs="Calibri"/>
                <w:color w:val="000000"/>
                <w:lang w:bidi="hi-IN"/>
              </w:rPr>
            </w:pPr>
            <w:r w:rsidRPr="000D49F6">
              <w:rPr>
                <w:rFonts w:ascii="Calibri" w:eastAsia="Times New Roman" w:hAnsi="Calibri" w:cs="Calibri"/>
                <w:color w:val="000000"/>
                <w:lang w:bidi="hi-IN"/>
              </w:rPr>
              <w:t>70.2</w:t>
            </w:r>
          </w:p>
        </w:tc>
      </w:tr>
      <w:tr w:rsidR="006C5B2E" w:rsidRPr="000D49F6" w14:paraId="62AF88EC" w14:textId="77777777" w:rsidTr="00527327">
        <w:trPr>
          <w:trHeight w:val="300"/>
          <w:jc w:val="center"/>
        </w:trPr>
        <w:tc>
          <w:tcPr>
            <w:tcW w:w="1443" w:type="dxa"/>
            <w:tcBorders>
              <w:top w:val="nil"/>
              <w:left w:val="single" w:sz="4" w:space="0" w:color="auto"/>
              <w:bottom w:val="single" w:sz="4" w:space="0" w:color="auto"/>
              <w:right w:val="single" w:sz="4" w:space="0" w:color="auto"/>
            </w:tcBorders>
            <w:shd w:val="clear" w:color="auto" w:fill="auto"/>
            <w:noWrap/>
            <w:vAlign w:val="bottom"/>
            <w:hideMark/>
          </w:tcPr>
          <w:p w14:paraId="63934228"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t>Q1</w:t>
            </w:r>
          </w:p>
        </w:tc>
        <w:tc>
          <w:tcPr>
            <w:tcW w:w="1072" w:type="dxa"/>
            <w:tcBorders>
              <w:top w:val="nil"/>
              <w:left w:val="nil"/>
              <w:bottom w:val="single" w:sz="4" w:space="0" w:color="auto"/>
              <w:right w:val="single" w:sz="4" w:space="0" w:color="auto"/>
            </w:tcBorders>
            <w:shd w:val="clear" w:color="auto" w:fill="auto"/>
            <w:noWrap/>
            <w:vAlign w:val="bottom"/>
            <w:hideMark/>
          </w:tcPr>
          <w:p w14:paraId="235DDB37" w14:textId="77777777" w:rsidR="006C5B2E" w:rsidRPr="000D49F6" w:rsidRDefault="006C5B2E" w:rsidP="00527327">
            <w:pPr>
              <w:spacing w:after="0" w:line="240" w:lineRule="auto"/>
              <w:jc w:val="center"/>
              <w:rPr>
                <w:rFonts w:ascii="Calibri" w:eastAsia="Times New Roman" w:hAnsi="Calibri" w:cs="Calibri"/>
                <w:color w:val="000000"/>
                <w:lang w:bidi="hi-IN"/>
              </w:rPr>
            </w:pPr>
            <w:r w:rsidRPr="000D49F6">
              <w:rPr>
                <w:rFonts w:ascii="Calibri" w:eastAsia="Times New Roman" w:hAnsi="Calibri" w:cs="Calibri"/>
                <w:color w:val="000000"/>
                <w:lang w:bidi="hi-IN"/>
              </w:rPr>
              <w:t>549.21</w:t>
            </w:r>
          </w:p>
        </w:tc>
      </w:tr>
      <w:tr w:rsidR="006C5B2E" w:rsidRPr="000D49F6" w14:paraId="31148CCD" w14:textId="77777777" w:rsidTr="00527327">
        <w:trPr>
          <w:trHeight w:val="300"/>
          <w:jc w:val="center"/>
        </w:trPr>
        <w:tc>
          <w:tcPr>
            <w:tcW w:w="1443" w:type="dxa"/>
            <w:tcBorders>
              <w:top w:val="nil"/>
              <w:left w:val="single" w:sz="4" w:space="0" w:color="auto"/>
              <w:bottom w:val="single" w:sz="4" w:space="0" w:color="auto"/>
              <w:right w:val="single" w:sz="4" w:space="0" w:color="auto"/>
            </w:tcBorders>
            <w:shd w:val="clear" w:color="auto" w:fill="auto"/>
            <w:noWrap/>
            <w:vAlign w:val="bottom"/>
            <w:hideMark/>
          </w:tcPr>
          <w:p w14:paraId="0324AB91"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lastRenderedPageBreak/>
              <w:t>Q3</w:t>
            </w:r>
          </w:p>
        </w:tc>
        <w:tc>
          <w:tcPr>
            <w:tcW w:w="1072" w:type="dxa"/>
            <w:tcBorders>
              <w:top w:val="nil"/>
              <w:left w:val="nil"/>
              <w:bottom w:val="single" w:sz="4" w:space="0" w:color="auto"/>
              <w:right w:val="single" w:sz="4" w:space="0" w:color="auto"/>
            </w:tcBorders>
            <w:shd w:val="clear" w:color="auto" w:fill="auto"/>
            <w:noWrap/>
            <w:vAlign w:val="bottom"/>
            <w:hideMark/>
          </w:tcPr>
          <w:p w14:paraId="30D68762" w14:textId="77777777" w:rsidR="006C5B2E" w:rsidRPr="000D49F6" w:rsidRDefault="006C5B2E" w:rsidP="00527327">
            <w:pPr>
              <w:spacing w:after="0" w:line="240" w:lineRule="auto"/>
              <w:jc w:val="center"/>
              <w:rPr>
                <w:rFonts w:ascii="Calibri" w:eastAsia="Times New Roman" w:hAnsi="Calibri" w:cs="Calibri"/>
                <w:color w:val="000000"/>
                <w:lang w:bidi="hi-IN"/>
              </w:rPr>
            </w:pPr>
            <w:r w:rsidRPr="000D49F6">
              <w:rPr>
                <w:rFonts w:ascii="Calibri" w:eastAsia="Times New Roman" w:hAnsi="Calibri" w:cs="Calibri"/>
                <w:color w:val="000000"/>
                <w:lang w:bidi="hi-IN"/>
              </w:rPr>
              <w:t>609.14</w:t>
            </w:r>
          </w:p>
        </w:tc>
      </w:tr>
      <w:tr w:rsidR="006C5B2E" w:rsidRPr="000D49F6" w14:paraId="72B871B5" w14:textId="77777777" w:rsidTr="00527327">
        <w:trPr>
          <w:trHeight w:val="300"/>
          <w:jc w:val="center"/>
        </w:trPr>
        <w:tc>
          <w:tcPr>
            <w:tcW w:w="1443" w:type="dxa"/>
            <w:tcBorders>
              <w:top w:val="nil"/>
              <w:left w:val="single" w:sz="4" w:space="0" w:color="auto"/>
              <w:bottom w:val="single" w:sz="4" w:space="0" w:color="auto"/>
              <w:right w:val="single" w:sz="4" w:space="0" w:color="auto"/>
            </w:tcBorders>
            <w:shd w:val="clear" w:color="auto" w:fill="auto"/>
            <w:noWrap/>
            <w:vAlign w:val="bottom"/>
            <w:hideMark/>
          </w:tcPr>
          <w:p w14:paraId="7C6A68EA" w14:textId="77777777" w:rsidR="006C5B2E" w:rsidRPr="000D49F6" w:rsidRDefault="006C5B2E" w:rsidP="00527327">
            <w:pPr>
              <w:spacing w:after="0" w:line="240" w:lineRule="auto"/>
              <w:rPr>
                <w:rFonts w:ascii="Calibri" w:eastAsia="Times New Roman" w:hAnsi="Calibri" w:cs="Calibri"/>
                <w:b/>
                <w:bCs/>
                <w:color w:val="000000"/>
                <w:lang w:bidi="hi-IN"/>
              </w:rPr>
            </w:pPr>
            <w:r w:rsidRPr="000D49F6">
              <w:rPr>
                <w:rFonts w:ascii="Calibri" w:eastAsia="Times New Roman" w:hAnsi="Calibri" w:cs="Calibri"/>
                <w:b/>
                <w:bCs/>
                <w:color w:val="000000"/>
                <w:lang w:bidi="hi-IN"/>
              </w:rPr>
              <w:t>Range</w:t>
            </w:r>
          </w:p>
        </w:tc>
        <w:tc>
          <w:tcPr>
            <w:tcW w:w="1072" w:type="dxa"/>
            <w:tcBorders>
              <w:top w:val="nil"/>
              <w:left w:val="nil"/>
              <w:bottom w:val="single" w:sz="4" w:space="0" w:color="auto"/>
              <w:right w:val="single" w:sz="4" w:space="0" w:color="auto"/>
            </w:tcBorders>
            <w:shd w:val="clear" w:color="auto" w:fill="auto"/>
            <w:noWrap/>
            <w:vAlign w:val="bottom"/>
            <w:hideMark/>
          </w:tcPr>
          <w:p w14:paraId="1947CE0C" w14:textId="77777777" w:rsidR="006C5B2E" w:rsidRPr="000D49F6" w:rsidRDefault="006C5B2E" w:rsidP="00527327">
            <w:pPr>
              <w:spacing w:after="0" w:line="240" w:lineRule="auto"/>
              <w:rPr>
                <w:rFonts w:ascii="Calibri" w:eastAsia="Times New Roman" w:hAnsi="Calibri" w:cs="Calibri"/>
                <w:color w:val="000000"/>
                <w:lang w:bidi="hi-IN"/>
              </w:rPr>
            </w:pPr>
            <w:r w:rsidRPr="000D49F6">
              <w:rPr>
                <w:rFonts w:ascii="Calibri" w:eastAsia="Times New Roman" w:hAnsi="Calibri" w:cs="Calibri"/>
                <w:color w:val="000000"/>
                <w:lang w:bidi="hi-IN"/>
              </w:rPr>
              <w:t>515 - 782</w:t>
            </w:r>
          </w:p>
        </w:tc>
      </w:tr>
    </w:tbl>
    <w:p w14:paraId="28EF144E" w14:textId="59F4022F" w:rsidR="006C5B2E" w:rsidRDefault="00877356" w:rsidP="006C5B2E">
      <w:pPr>
        <w:jc w:val="center"/>
      </w:pPr>
      <w:r>
        <w:t xml:space="preserve">Table1. Summary Statistics. </w:t>
      </w:r>
      <w:r w:rsidR="006C5B2E">
        <w:t xml:space="preserve">Values in </w:t>
      </w:r>
      <w:r w:rsidR="006C5B2E" w:rsidRPr="000D49F6">
        <w:t>Billions of U.S. Dollars</w:t>
      </w:r>
    </w:p>
    <w:p w14:paraId="76EACF5F" w14:textId="77777777" w:rsidR="006C5B2E" w:rsidRDefault="006C5B2E" w:rsidP="006C5B2E">
      <w:r>
        <w:t>From the data series there seems to be a downtrend during the covid period. This will be verified while testing our hypotheses.</w:t>
      </w:r>
    </w:p>
    <w:p w14:paraId="55B43AF0" w14:textId="77777777" w:rsidR="00424514" w:rsidRDefault="00424514" w:rsidP="006C5B2E"/>
    <w:p w14:paraId="3B5A59E8" w14:textId="4884B26A" w:rsidR="006C5B2E" w:rsidRDefault="00424514" w:rsidP="002E3CCD">
      <w:pPr>
        <w:pStyle w:val="Heading2"/>
      </w:pPr>
      <w:r>
        <w:t>Seasonal Decomposition and Initial Assessment</w:t>
      </w:r>
    </w:p>
    <w:p w14:paraId="6EF22BA8" w14:textId="4E15EAEC" w:rsidR="00424514" w:rsidRDefault="00424514" w:rsidP="00424514">
      <w:r>
        <w:t>The time series data from 2012 to 2023 shows fluctuations in consumer credit card balances. Notably, there appears to be a dip around 2020, which could be attributed to economic factors arising from the global pandemic. Further analysis will delve into seasonal trends, potential cyclic behavior, and the forecasting of future data points.</w:t>
      </w:r>
    </w:p>
    <w:p w14:paraId="44C17044" w14:textId="0949A465" w:rsidR="00424514" w:rsidRDefault="00424514" w:rsidP="00424514">
      <w:r>
        <w:t>Additive decomposition was performed to analyze existence of a trend and seasonality,</w:t>
      </w:r>
    </w:p>
    <w:p w14:paraId="0360E0CE" w14:textId="369CFFE0" w:rsidR="00424514" w:rsidRDefault="00424514" w:rsidP="00424514">
      <w:r>
        <w:rPr>
          <w:noProof/>
        </w:rPr>
        <w:drawing>
          <wp:inline distT="0" distB="0" distL="0" distR="0" wp14:anchorId="40110154" wp14:editId="07AECA40">
            <wp:extent cx="5943600" cy="3962400"/>
            <wp:effectExtent l="0" t="0" r="0" b="0"/>
            <wp:docPr id="832962708" name="Picture 832962708" descr="A graph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34858" name="Picture 1" descr="A graph of a number of patients&#10;&#10;Description automatically generated with medium confidence"/>
                    <pic:cNvPicPr/>
                  </pic:nvPicPr>
                  <pic:blipFill>
                    <a:blip r:embed="rId8"/>
                    <a:stretch>
                      <a:fillRect/>
                    </a:stretch>
                  </pic:blipFill>
                  <pic:spPr>
                    <a:xfrm>
                      <a:off x="0" y="0"/>
                      <a:ext cx="5943600" cy="3962400"/>
                    </a:xfrm>
                    <a:prstGeom prst="rect">
                      <a:avLst/>
                    </a:prstGeom>
                  </pic:spPr>
                </pic:pic>
              </a:graphicData>
            </a:graphic>
          </wp:inline>
        </w:drawing>
      </w:r>
    </w:p>
    <w:p w14:paraId="0483C898" w14:textId="64033794" w:rsidR="00C652D6" w:rsidRDefault="00C652D6" w:rsidP="00C652D6">
      <w:pPr>
        <w:jc w:val="center"/>
      </w:pPr>
      <w:r>
        <w:t xml:space="preserve">Figure 2. Seasonal decomposition produced using </w:t>
      </w:r>
      <w:proofErr w:type="spellStart"/>
      <w:proofErr w:type="gramStart"/>
      <w:r>
        <w:t>stata</w:t>
      </w:r>
      <w:proofErr w:type="spellEnd"/>
      <w:proofErr w:type="gramEnd"/>
    </w:p>
    <w:p w14:paraId="1AE8D063" w14:textId="399C578F" w:rsidR="00C652D6" w:rsidRDefault="00C652D6" w:rsidP="00C652D6">
      <w:pPr>
        <w:jc w:val="center"/>
      </w:pPr>
      <w:r w:rsidRPr="00C652D6">
        <w:rPr>
          <w:noProof/>
        </w:rPr>
        <w:lastRenderedPageBreak/>
        <w:drawing>
          <wp:inline distT="0" distB="0" distL="0" distR="0" wp14:anchorId="3DD7CF62" wp14:editId="1B3BB28D">
            <wp:extent cx="4864350" cy="3702240"/>
            <wp:effectExtent l="0" t="0" r="0" b="0"/>
            <wp:docPr id="140009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0399" name=""/>
                    <pic:cNvPicPr/>
                  </pic:nvPicPr>
                  <pic:blipFill>
                    <a:blip r:embed="rId9"/>
                    <a:stretch>
                      <a:fillRect/>
                    </a:stretch>
                  </pic:blipFill>
                  <pic:spPr>
                    <a:xfrm>
                      <a:off x="0" y="0"/>
                      <a:ext cx="4864350" cy="3702240"/>
                    </a:xfrm>
                    <a:prstGeom prst="rect">
                      <a:avLst/>
                    </a:prstGeom>
                  </pic:spPr>
                </pic:pic>
              </a:graphicData>
            </a:graphic>
          </wp:inline>
        </w:drawing>
      </w:r>
    </w:p>
    <w:p w14:paraId="42DB5507" w14:textId="53C4E59D" w:rsidR="00C652D6" w:rsidRDefault="00C652D6" w:rsidP="00C652D6">
      <w:pPr>
        <w:jc w:val="center"/>
      </w:pPr>
      <w:r>
        <w:t xml:space="preserve">Figure 3. Seasonal decomposition produced using Python </w:t>
      </w:r>
      <w:proofErr w:type="spellStart"/>
      <w:r>
        <w:t>Statsmodel</w:t>
      </w:r>
      <w:proofErr w:type="spellEnd"/>
    </w:p>
    <w:p w14:paraId="10DDE303" w14:textId="4E78540E" w:rsidR="00424514" w:rsidRDefault="00424514" w:rsidP="00424514">
      <w:r w:rsidRPr="00424514">
        <w:rPr>
          <w:b/>
          <w:bCs/>
        </w:rPr>
        <w:t>From the plot there seems to be a clear seasonality in the data</w:t>
      </w:r>
      <w:r>
        <w:t xml:space="preserve">. We will need to handle the downtrend around </w:t>
      </w:r>
      <w:proofErr w:type="gramStart"/>
      <w:r>
        <w:t>years</w:t>
      </w:r>
      <w:proofErr w:type="gramEnd"/>
      <w:r>
        <w:t xml:space="preserve"> 2020 to 2021 and use seasonal models to forecast the future data. We will take part </w:t>
      </w:r>
      <w:proofErr w:type="gramStart"/>
      <w:r>
        <w:t>of</w:t>
      </w:r>
      <w:proofErr w:type="gramEnd"/>
      <w:r>
        <w:t xml:space="preserve"> 2022 and year 2023 as test data to evaluate our forecasts.</w:t>
      </w:r>
    </w:p>
    <w:p w14:paraId="6B17F34E" w14:textId="77777777" w:rsidR="00424514" w:rsidRDefault="00424514" w:rsidP="00424514"/>
    <w:p w14:paraId="5B75FCCF" w14:textId="05AE6A1E" w:rsidR="00C652D6" w:rsidRDefault="00C652D6" w:rsidP="002A2920">
      <w:pPr>
        <w:pStyle w:val="Heading2"/>
      </w:pPr>
      <w:r>
        <w:t>Preliminary Forecasting Techniques</w:t>
      </w:r>
    </w:p>
    <w:p w14:paraId="238DAEBA" w14:textId="77777777" w:rsidR="003326BD" w:rsidRDefault="00877356" w:rsidP="003326BD">
      <w:r w:rsidRPr="00877356">
        <w:t>In the initial stage of our analysis, we designated the period from July 1, 2022, to April 1, 2023, as our testing window, utilizing the historical data preceding this interval as the training dataset. Our approach began with the application of various rudimentary forecasting techniques, each with unique assumptions and mechanisms for predicting future values. The methods implemented include the Naïve, Average, Seasonal Naïve, Drift, and Moving Average forecasts. These methods were chosen for their foundational relevance in time series forecasting, serving as a benchmark against more sophisticated</w:t>
      </w:r>
      <w:r w:rsidR="003326BD">
        <w:t xml:space="preserve"> </w:t>
      </w:r>
      <w:r w:rsidRPr="00877356">
        <w:t>models.</w:t>
      </w:r>
    </w:p>
    <w:p w14:paraId="4EA0163B" w14:textId="73627775" w:rsidR="00C652D6" w:rsidRDefault="00C652D6" w:rsidP="002A2920">
      <w:pPr>
        <w:jc w:val="center"/>
      </w:pPr>
      <w:r w:rsidRPr="00C652D6">
        <w:rPr>
          <w:noProof/>
        </w:rPr>
        <w:lastRenderedPageBreak/>
        <w:drawing>
          <wp:inline distT="0" distB="0" distL="0" distR="0" wp14:anchorId="4AFDC736" wp14:editId="1E5F37CB">
            <wp:extent cx="5528235" cy="2837945"/>
            <wp:effectExtent l="0" t="0" r="0" b="635"/>
            <wp:docPr id="85153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5667" name=""/>
                    <pic:cNvPicPr/>
                  </pic:nvPicPr>
                  <pic:blipFill>
                    <a:blip r:embed="rId10"/>
                    <a:stretch>
                      <a:fillRect/>
                    </a:stretch>
                  </pic:blipFill>
                  <pic:spPr>
                    <a:xfrm>
                      <a:off x="0" y="0"/>
                      <a:ext cx="5534603" cy="2841214"/>
                    </a:xfrm>
                    <a:prstGeom prst="rect">
                      <a:avLst/>
                    </a:prstGeom>
                  </pic:spPr>
                </pic:pic>
              </a:graphicData>
            </a:graphic>
          </wp:inline>
        </w:drawing>
      </w:r>
    </w:p>
    <w:p w14:paraId="58770ECD" w14:textId="3568179A" w:rsidR="00877356" w:rsidRDefault="00877356" w:rsidP="00877356">
      <w:pPr>
        <w:jc w:val="center"/>
      </w:pPr>
      <w:r>
        <w:t>Figure 4. Preliminary forecasting methods prediction</w:t>
      </w:r>
    </w:p>
    <w:p w14:paraId="54431CC4" w14:textId="77777777" w:rsidR="00877356" w:rsidRDefault="00877356" w:rsidP="00424514">
      <w:r w:rsidRPr="00877356">
        <w:t>Upon plotting the forecasts, we observed that none of the rudimentary methods could closely match the actual values. However, the drift forecast seemed to follow the observable trend to a certain extent, performing better than the other naive models applied. This relative performance suggests that while simplistic, the drift method can somewhat account for the trend component present in the data.</w:t>
      </w:r>
    </w:p>
    <w:p w14:paraId="5936FF79" w14:textId="77777777" w:rsidR="00877356" w:rsidRPr="00877356" w:rsidRDefault="00877356" w:rsidP="00877356">
      <w:r w:rsidRPr="00877356">
        <w:t>The forecasted and actual values for the test period are tabulated as follows:</w:t>
      </w:r>
    </w:p>
    <w:tbl>
      <w:tblPr>
        <w:tblW w:w="10680" w:type="dxa"/>
        <w:tblLook w:val="04A0" w:firstRow="1" w:lastRow="0" w:firstColumn="1" w:lastColumn="0" w:noHBand="0" w:noVBand="1"/>
      </w:tblPr>
      <w:tblGrid>
        <w:gridCol w:w="1135"/>
        <w:gridCol w:w="802"/>
        <w:gridCol w:w="1440"/>
        <w:gridCol w:w="1640"/>
        <w:gridCol w:w="1320"/>
        <w:gridCol w:w="2320"/>
        <w:gridCol w:w="2300"/>
      </w:tblGrid>
      <w:tr w:rsidR="00C652D6" w:rsidRPr="00C652D6" w14:paraId="168EA297" w14:textId="77777777" w:rsidTr="00C652D6">
        <w:trPr>
          <w:trHeight w:val="29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E471C" w14:textId="77777777" w:rsidR="00C652D6" w:rsidRPr="00C652D6" w:rsidRDefault="00C652D6" w:rsidP="00C652D6">
            <w:pPr>
              <w:spacing w:after="0" w:line="240" w:lineRule="auto"/>
              <w:jc w:val="center"/>
              <w:rPr>
                <w:rFonts w:ascii="Aptos Narrow" w:eastAsia="Times New Roman" w:hAnsi="Aptos Narrow" w:cs="Times New Roman"/>
                <w:b/>
                <w:bCs/>
                <w:color w:val="000000"/>
                <w:lang w:bidi="hi-IN"/>
              </w:rPr>
            </w:pPr>
            <w:r w:rsidRPr="00C652D6">
              <w:rPr>
                <w:rFonts w:ascii="Aptos Narrow" w:eastAsia="Times New Roman" w:hAnsi="Aptos Narrow" w:cs="Times New Roman"/>
                <w:b/>
                <w:bCs/>
                <w:color w:val="000000"/>
                <w:lang w:bidi="hi-IN"/>
              </w:rPr>
              <w:t>Date</w:t>
            </w:r>
          </w:p>
        </w:tc>
        <w:tc>
          <w:tcPr>
            <w:tcW w:w="660" w:type="dxa"/>
            <w:tcBorders>
              <w:top w:val="single" w:sz="4" w:space="0" w:color="auto"/>
              <w:left w:val="nil"/>
              <w:bottom w:val="single" w:sz="4" w:space="0" w:color="auto"/>
              <w:right w:val="single" w:sz="4" w:space="0" w:color="auto"/>
            </w:tcBorders>
            <w:shd w:val="clear" w:color="auto" w:fill="auto"/>
            <w:noWrap/>
            <w:vAlign w:val="center"/>
            <w:hideMark/>
          </w:tcPr>
          <w:p w14:paraId="190AADCE" w14:textId="77777777" w:rsidR="00C652D6" w:rsidRPr="00C652D6" w:rsidRDefault="00C652D6" w:rsidP="00C652D6">
            <w:pPr>
              <w:spacing w:after="0" w:line="240" w:lineRule="auto"/>
              <w:jc w:val="center"/>
              <w:rPr>
                <w:rFonts w:ascii="Aptos Narrow" w:eastAsia="Times New Roman" w:hAnsi="Aptos Narrow" w:cs="Times New Roman"/>
                <w:b/>
                <w:bCs/>
                <w:color w:val="000000"/>
                <w:lang w:bidi="hi-IN"/>
              </w:rPr>
            </w:pPr>
            <w:r w:rsidRPr="00C652D6">
              <w:rPr>
                <w:rFonts w:ascii="Aptos Narrow" w:eastAsia="Times New Roman" w:hAnsi="Aptos Narrow" w:cs="Times New Roman"/>
                <w:b/>
                <w:bCs/>
                <w:color w:val="000000"/>
                <w:lang w:bidi="hi-IN"/>
              </w:rPr>
              <w:t>Actual</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49BA66E4" w14:textId="77777777" w:rsidR="00C652D6" w:rsidRPr="00C652D6" w:rsidRDefault="00C652D6" w:rsidP="00C652D6">
            <w:pPr>
              <w:spacing w:after="0" w:line="240" w:lineRule="auto"/>
              <w:jc w:val="center"/>
              <w:rPr>
                <w:rFonts w:ascii="Aptos Narrow" w:eastAsia="Times New Roman" w:hAnsi="Aptos Narrow" w:cs="Times New Roman"/>
                <w:b/>
                <w:bCs/>
                <w:color w:val="000000"/>
                <w:lang w:bidi="hi-IN"/>
              </w:rPr>
            </w:pPr>
            <w:r w:rsidRPr="00C652D6">
              <w:rPr>
                <w:rFonts w:ascii="Aptos Narrow" w:eastAsia="Times New Roman" w:hAnsi="Aptos Narrow" w:cs="Times New Roman"/>
                <w:b/>
                <w:bCs/>
                <w:color w:val="000000"/>
                <w:lang w:bidi="hi-IN"/>
              </w:rPr>
              <w:t>Naive Forecast</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0F0A155E" w14:textId="77777777" w:rsidR="00C652D6" w:rsidRPr="00C652D6" w:rsidRDefault="00C652D6" w:rsidP="00C652D6">
            <w:pPr>
              <w:spacing w:after="0" w:line="240" w:lineRule="auto"/>
              <w:jc w:val="center"/>
              <w:rPr>
                <w:rFonts w:ascii="Aptos Narrow" w:eastAsia="Times New Roman" w:hAnsi="Aptos Narrow" w:cs="Times New Roman"/>
                <w:b/>
                <w:bCs/>
                <w:color w:val="000000"/>
                <w:lang w:bidi="hi-IN"/>
              </w:rPr>
            </w:pPr>
            <w:r w:rsidRPr="00C652D6">
              <w:rPr>
                <w:rFonts w:ascii="Aptos Narrow" w:eastAsia="Times New Roman" w:hAnsi="Aptos Narrow" w:cs="Times New Roman"/>
                <w:b/>
                <w:bCs/>
                <w:color w:val="000000"/>
                <w:lang w:bidi="hi-IN"/>
              </w:rPr>
              <w:t>Average Forecast</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10E27724" w14:textId="77777777" w:rsidR="00C652D6" w:rsidRPr="00C652D6" w:rsidRDefault="00C652D6" w:rsidP="00C652D6">
            <w:pPr>
              <w:spacing w:after="0" w:line="240" w:lineRule="auto"/>
              <w:jc w:val="center"/>
              <w:rPr>
                <w:rFonts w:ascii="Aptos Narrow" w:eastAsia="Times New Roman" w:hAnsi="Aptos Narrow" w:cs="Times New Roman"/>
                <w:b/>
                <w:bCs/>
                <w:color w:val="000000"/>
                <w:lang w:bidi="hi-IN"/>
              </w:rPr>
            </w:pPr>
            <w:r w:rsidRPr="00C652D6">
              <w:rPr>
                <w:rFonts w:ascii="Aptos Narrow" w:eastAsia="Times New Roman" w:hAnsi="Aptos Narrow" w:cs="Times New Roman"/>
                <w:b/>
                <w:bCs/>
                <w:color w:val="000000"/>
                <w:lang w:bidi="hi-IN"/>
              </w:rPr>
              <w:t>Drift Forecast</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14:paraId="5B015833" w14:textId="77777777" w:rsidR="00C652D6" w:rsidRPr="00C652D6" w:rsidRDefault="00C652D6" w:rsidP="00C652D6">
            <w:pPr>
              <w:spacing w:after="0" w:line="240" w:lineRule="auto"/>
              <w:jc w:val="center"/>
              <w:rPr>
                <w:rFonts w:ascii="Aptos Narrow" w:eastAsia="Times New Roman" w:hAnsi="Aptos Narrow" w:cs="Times New Roman"/>
                <w:b/>
                <w:bCs/>
                <w:color w:val="000000"/>
                <w:lang w:bidi="hi-IN"/>
              </w:rPr>
            </w:pPr>
            <w:r w:rsidRPr="00C652D6">
              <w:rPr>
                <w:rFonts w:ascii="Aptos Narrow" w:eastAsia="Times New Roman" w:hAnsi="Aptos Narrow" w:cs="Times New Roman"/>
                <w:b/>
                <w:bCs/>
                <w:color w:val="000000"/>
                <w:lang w:bidi="hi-IN"/>
              </w:rPr>
              <w:t>Moving Average Forecast</w:t>
            </w:r>
          </w:p>
        </w:tc>
        <w:tc>
          <w:tcPr>
            <w:tcW w:w="2300" w:type="dxa"/>
            <w:tcBorders>
              <w:top w:val="single" w:sz="4" w:space="0" w:color="auto"/>
              <w:left w:val="nil"/>
              <w:bottom w:val="single" w:sz="4" w:space="0" w:color="auto"/>
              <w:right w:val="single" w:sz="4" w:space="0" w:color="auto"/>
            </w:tcBorders>
            <w:shd w:val="clear" w:color="auto" w:fill="auto"/>
            <w:noWrap/>
            <w:vAlign w:val="center"/>
            <w:hideMark/>
          </w:tcPr>
          <w:p w14:paraId="5DA1783D" w14:textId="77777777" w:rsidR="00C652D6" w:rsidRPr="00C652D6" w:rsidRDefault="00C652D6" w:rsidP="00C652D6">
            <w:pPr>
              <w:spacing w:after="0" w:line="240" w:lineRule="auto"/>
              <w:jc w:val="center"/>
              <w:rPr>
                <w:rFonts w:ascii="Aptos Narrow" w:eastAsia="Times New Roman" w:hAnsi="Aptos Narrow" w:cs="Times New Roman"/>
                <w:b/>
                <w:bCs/>
                <w:color w:val="000000"/>
                <w:lang w:bidi="hi-IN"/>
              </w:rPr>
            </w:pPr>
            <w:r w:rsidRPr="00C652D6">
              <w:rPr>
                <w:rFonts w:ascii="Aptos Narrow" w:eastAsia="Times New Roman" w:hAnsi="Aptos Narrow" w:cs="Times New Roman"/>
                <w:b/>
                <w:bCs/>
                <w:color w:val="000000"/>
                <w:lang w:bidi="hi-IN"/>
              </w:rPr>
              <w:t>Seasonal Naive Forecast</w:t>
            </w:r>
          </w:p>
        </w:tc>
      </w:tr>
      <w:tr w:rsidR="00C652D6" w:rsidRPr="00C652D6" w14:paraId="5B16A3A9" w14:textId="77777777" w:rsidTr="00C652D6">
        <w:trPr>
          <w:trHeight w:val="29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90039F1"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7/1/2022</w:t>
            </w:r>
          </w:p>
        </w:tc>
        <w:tc>
          <w:tcPr>
            <w:tcW w:w="660" w:type="dxa"/>
            <w:tcBorders>
              <w:top w:val="nil"/>
              <w:left w:val="nil"/>
              <w:bottom w:val="single" w:sz="4" w:space="0" w:color="auto"/>
              <w:right w:val="single" w:sz="4" w:space="0" w:color="auto"/>
            </w:tcBorders>
            <w:shd w:val="clear" w:color="auto" w:fill="auto"/>
            <w:noWrap/>
            <w:vAlign w:val="center"/>
            <w:hideMark/>
          </w:tcPr>
          <w:p w14:paraId="18BBD082"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709.3</w:t>
            </w:r>
          </w:p>
        </w:tc>
        <w:tc>
          <w:tcPr>
            <w:tcW w:w="1440" w:type="dxa"/>
            <w:tcBorders>
              <w:top w:val="nil"/>
              <w:left w:val="nil"/>
              <w:bottom w:val="single" w:sz="4" w:space="0" w:color="auto"/>
              <w:right w:val="single" w:sz="4" w:space="0" w:color="auto"/>
            </w:tcBorders>
            <w:shd w:val="clear" w:color="auto" w:fill="auto"/>
            <w:noWrap/>
            <w:vAlign w:val="center"/>
            <w:hideMark/>
          </w:tcPr>
          <w:p w14:paraId="783ACBBD"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675.9</w:t>
            </w:r>
          </w:p>
        </w:tc>
        <w:tc>
          <w:tcPr>
            <w:tcW w:w="1640" w:type="dxa"/>
            <w:tcBorders>
              <w:top w:val="nil"/>
              <w:left w:val="nil"/>
              <w:bottom w:val="single" w:sz="4" w:space="0" w:color="auto"/>
              <w:right w:val="single" w:sz="4" w:space="0" w:color="auto"/>
            </w:tcBorders>
            <w:shd w:val="clear" w:color="auto" w:fill="auto"/>
            <w:noWrap/>
            <w:vAlign w:val="center"/>
            <w:hideMark/>
          </w:tcPr>
          <w:p w14:paraId="02A6FA90"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600.2</w:t>
            </w:r>
          </w:p>
        </w:tc>
        <w:tc>
          <w:tcPr>
            <w:tcW w:w="1320" w:type="dxa"/>
            <w:tcBorders>
              <w:top w:val="nil"/>
              <w:left w:val="nil"/>
              <w:bottom w:val="single" w:sz="4" w:space="0" w:color="auto"/>
              <w:right w:val="single" w:sz="4" w:space="0" w:color="auto"/>
            </w:tcBorders>
            <w:shd w:val="clear" w:color="auto" w:fill="auto"/>
            <w:noWrap/>
            <w:vAlign w:val="center"/>
            <w:hideMark/>
          </w:tcPr>
          <w:p w14:paraId="5AE7252D"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679.6</w:t>
            </w:r>
          </w:p>
        </w:tc>
        <w:tc>
          <w:tcPr>
            <w:tcW w:w="2320" w:type="dxa"/>
            <w:tcBorders>
              <w:top w:val="nil"/>
              <w:left w:val="nil"/>
              <w:bottom w:val="single" w:sz="4" w:space="0" w:color="auto"/>
              <w:right w:val="single" w:sz="4" w:space="0" w:color="auto"/>
            </w:tcBorders>
            <w:shd w:val="clear" w:color="auto" w:fill="auto"/>
            <w:noWrap/>
            <w:vAlign w:val="center"/>
            <w:hideMark/>
          </w:tcPr>
          <w:p w14:paraId="708A1866"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654.6</w:t>
            </w:r>
          </w:p>
        </w:tc>
        <w:tc>
          <w:tcPr>
            <w:tcW w:w="2300" w:type="dxa"/>
            <w:tcBorders>
              <w:top w:val="nil"/>
              <w:left w:val="nil"/>
              <w:bottom w:val="single" w:sz="4" w:space="0" w:color="auto"/>
              <w:right w:val="single" w:sz="4" w:space="0" w:color="auto"/>
            </w:tcBorders>
            <w:shd w:val="clear" w:color="auto" w:fill="auto"/>
            <w:noWrap/>
            <w:vAlign w:val="center"/>
            <w:hideMark/>
          </w:tcPr>
          <w:p w14:paraId="7CD6E4DB"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603.8</w:t>
            </w:r>
          </w:p>
        </w:tc>
      </w:tr>
      <w:tr w:rsidR="00C652D6" w:rsidRPr="00C652D6" w14:paraId="3877EE04" w14:textId="77777777" w:rsidTr="00C652D6">
        <w:trPr>
          <w:trHeight w:val="29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E917F36"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10/1/2022</w:t>
            </w:r>
          </w:p>
        </w:tc>
        <w:tc>
          <w:tcPr>
            <w:tcW w:w="660" w:type="dxa"/>
            <w:tcBorders>
              <w:top w:val="nil"/>
              <w:left w:val="nil"/>
              <w:bottom w:val="single" w:sz="4" w:space="0" w:color="auto"/>
              <w:right w:val="single" w:sz="4" w:space="0" w:color="auto"/>
            </w:tcBorders>
            <w:shd w:val="clear" w:color="auto" w:fill="auto"/>
            <w:noWrap/>
            <w:vAlign w:val="center"/>
            <w:hideMark/>
          </w:tcPr>
          <w:p w14:paraId="7EC9F4E8"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762.6</w:t>
            </w:r>
          </w:p>
        </w:tc>
        <w:tc>
          <w:tcPr>
            <w:tcW w:w="1440" w:type="dxa"/>
            <w:tcBorders>
              <w:top w:val="nil"/>
              <w:left w:val="nil"/>
              <w:bottom w:val="single" w:sz="4" w:space="0" w:color="auto"/>
              <w:right w:val="single" w:sz="4" w:space="0" w:color="auto"/>
            </w:tcBorders>
            <w:shd w:val="clear" w:color="auto" w:fill="auto"/>
            <w:noWrap/>
            <w:vAlign w:val="center"/>
            <w:hideMark/>
          </w:tcPr>
          <w:p w14:paraId="24C574A0"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675.9</w:t>
            </w:r>
          </w:p>
        </w:tc>
        <w:tc>
          <w:tcPr>
            <w:tcW w:w="1640" w:type="dxa"/>
            <w:tcBorders>
              <w:top w:val="nil"/>
              <w:left w:val="nil"/>
              <w:bottom w:val="single" w:sz="4" w:space="0" w:color="auto"/>
              <w:right w:val="single" w:sz="4" w:space="0" w:color="auto"/>
            </w:tcBorders>
            <w:shd w:val="clear" w:color="auto" w:fill="auto"/>
            <w:noWrap/>
            <w:vAlign w:val="center"/>
            <w:hideMark/>
          </w:tcPr>
          <w:p w14:paraId="4617D9D8"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600.2</w:t>
            </w:r>
          </w:p>
        </w:tc>
        <w:tc>
          <w:tcPr>
            <w:tcW w:w="1320" w:type="dxa"/>
            <w:tcBorders>
              <w:top w:val="nil"/>
              <w:left w:val="nil"/>
              <w:bottom w:val="single" w:sz="4" w:space="0" w:color="auto"/>
              <w:right w:val="single" w:sz="4" w:space="0" w:color="auto"/>
            </w:tcBorders>
            <w:shd w:val="clear" w:color="auto" w:fill="auto"/>
            <w:noWrap/>
            <w:vAlign w:val="center"/>
            <w:hideMark/>
          </w:tcPr>
          <w:p w14:paraId="1C0D0465"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683.3</w:t>
            </w:r>
          </w:p>
        </w:tc>
        <w:tc>
          <w:tcPr>
            <w:tcW w:w="2320" w:type="dxa"/>
            <w:tcBorders>
              <w:top w:val="nil"/>
              <w:left w:val="nil"/>
              <w:bottom w:val="single" w:sz="4" w:space="0" w:color="auto"/>
              <w:right w:val="single" w:sz="4" w:space="0" w:color="auto"/>
            </w:tcBorders>
            <w:shd w:val="clear" w:color="auto" w:fill="auto"/>
            <w:noWrap/>
            <w:vAlign w:val="center"/>
            <w:hideMark/>
          </w:tcPr>
          <w:p w14:paraId="3A6E50C3"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654.6</w:t>
            </w:r>
          </w:p>
        </w:tc>
        <w:tc>
          <w:tcPr>
            <w:tcW w:w="2300" w:type="dxa"/>
            <w:tcBorders>
              <w:top w:val="nil"/>
              <w:left w:val="nil"/>
              <w:bottom w:val="single" w:sz="4" w:space="0" w:color="auto"/>
              <w:right w:val="single" w:sz="4" w:space="0" w:color="auto"/>
            </w:tcBorders>
            <w:shd w:val="clear" w:color="auto" w:fill="auto"/>
            <w:noWrap/>
            <w:vAlign w:val="center"/>
            <w:hideMark/>
          </w:tcPr>
          <w:p w14:paraId="351D19EA"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651.4</w:t>
            </w:r>
          </w:p>
        </w:tc>
      </w:tr>
      <w:tr w:rsidR="00C652D6" w:rsidRPr="00C652D6" w14:paraId="0CDB62EC" w14:textId="77777777" w:rsidTr="00C652D6">
        <w:trPr>
          <w:trHeight w:val="29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6BF2D848"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1/1/2023</w:t>
            </w:r>
          </w:p>
        </w:tc>
        <w:tc>
          <w:tcPr>
            <w:tcW w:w="660" w:type="dxa"/>
            <w:tcBorders>
              <w:top w:val="nil"/>
              <w:left w:val="nil"/>
              <w:bottom w:val="single" w:sz="4" w:space="0" w:color="auto"/>
              <w:right w:val="single" w:sz="4" w:space="0" w:color="auto"/>
            </w:tcBorders>
            <w:shd w:val="clear" w:color="auto" w:fill="auto"/>
            <w:noWrap/>
            <w:vAlign w:val="center"/>
            <w:hideMark/>
          </w:tcPr>
          <w:p w14:paraId="5E603146"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746.6</w:t>
            </w:r>
          </w:p>
        </w:tc>
        <w:tc>
          <w:tcPr>
            <w:tcW w:w="1440" w:type="dxa"/>
            <w:tcBorders>
              <w:top w:val="nil"/>
              <w:left w:val="nil"/>
              <w:bottom w:val="single" w:sz="4" w:space="0" w:color="auto"/>
              <w:right w:val="single" w:sz="4" w:space="0" w:color="auto"/>
            </w:tcBorders>
            <w:shd w:val="clear" w:color="auto" w:fill="auto"/>
            <w:noWrap/>
            <w:vAlign w:val="center"/>
            <w:hideMark/>
          </w:tcPr>
          <w:p w14:paraId="2B4F32A8"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675.9</w:t>
            </w:r>
          </w:p>
        </w:tc>
        <w:tc>
          <w:tcPr>
            <w:tcW w:w="1640" w:type="dxa"/>
            <w:tcBorders>
              <w:top w:val="nil"/>
              <w:left w:val="nil"/>
              <w:bottom w:val="single" w:sz="4" w:space="0" w:color="auto"/>
              <w:right w:val="single" w:sz="4" w:space="0" w:color="auto"/>
            </w:tcBorders>
            <w:shd w:val="clear" w:color="auto" w:fill="auto"/>
            <w:noWrap/>
            <w:vAlign w:val="center"/>
            <w:hideMark/>
          </w:tcPr>
          <w:p w14:paraId="185723E9"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600.2</w:t>
            </w:r>
          </w:p>
        </w:tc>
        <w:tc>
          <w:tcPr>
            <w:tcW w:w="1320" w:type="dxa"/>
            <w:tcBorders>
              <w:top w:val="nil"/>
              <w:left w:val="nil"/>
              <w:bottom w:val="single" w:sz="4" w:space="0" w:color="auto"/>
              <w:right w:val="single" w:sz="4" w:space="0" w:color="auto"/>
            </w:tcBorders>
            <w:shd w:val="clear" w:color="auto" w:fill="auto"/>
            <w:noWrap/>
            <w:vAlign w:val="center"/>
            <w:hideMark/>
          </w:tcPr>
          <w:p w14:paraId="6209630E"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687</w:t>
            </w:r>
          </w:p>
        </w:tc>
        <w:tc>
          <w:tcPr>
            <w:tcW w:w="2320" w:type="dxa"/>
            <w:tcBorders>
              <w:top w:val="nil"/>
              <w:left w:val="nil"/>
              <w:bottom w:val="single" w:sz="4" w:space="0" w:color="auto"/>
              <w:right w:val="single" w:sz="4" w:space="0" w:color="auto"/>
            </w:tcBorders>
            <w:shd w:val="clear" w:color="auto" w:fill="auto"/>
            <w:noWrap/>
            <w:vAlign w:val="center"/>
            <w:hideMark/>
          </w:tcPr>
          <w:p w14:paraId="1D29FFE2"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654.6</w:t>
            </w:r>
          </w:p>
        </w:tc>
        <w:tc>
          <w:tcPr>
            <w:tcW w:w="2300" w:type="dxa"/>
            <w:tcBorders>
              <w:top w:val="nil"/>
              <w:left w:val="nil"/>
              <w:bottom w:val="single" w:sz="4" w:space="0" w:color="auto"/>
              <w:right w:val="single" w:sz="4" w:space="0" w:color="auto"/>
            </w:tcBorders>
            <w:shd w:val="clear" w:color="auto" w:fill="auto"/>
            <w:noWrap/>
            <w:vAlign w:val="center"/>
            <w:hideMark/>
          </w:tcPr>
          <w:p w14:paraId="6F4A34E0"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633.3</w:t>
            </w:r>
          </w:p>
        </w:tc>
      </w:tr>
      <w:tr w:rsidR="00C652D6" w:rsidRPr="00C652D6" w14:paraId="5F7C6CB0" w14:textId="77777777" w:rsidTr="00C652D6">
        <w:trPr>
          <w:trHeight w:val="29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576EC0CA"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4/1/2023</w:t>
            </w:r>
          </w:p>
        </w:tc>
        <w:tc>
          <w:tcPr>
            <w:tcW w:w="660" w:type="dxa"/>
            <w:tcBorders>
              <w:top w:val="nil"/>
              <w:left w:val="nil"/>
              <w:bottom w:val="single" w:sz="4" w:space="0" w:color="auto"/>
              <w:right w:val="single" w:sz="4" w:space="0" w:color="auto"/>
            </w:tcBorders>
            <w:shd w:val="clear" w:color="auto" w:fill="auto"/>
            <w:noWrap/>
            <w:vAlign w:val="center"/>
            <w:hideMark/>
          </w:tcPr>
          <w:p w14:paraId="4EE6E30B"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782.2</w:t>
            </w:r>
          </w:p>
        </w:tc>
        <w:tc>
          <w:tcPr>
            <w:tcW w:w="1440" w:type="dxa"/>
            <w:tcBorders>
              <w:top w:val="nil"/>
              <w:left w:val="nil"/>
              <w:bottom w:val="single" w:sz="4" w:space="0" w:color="auto"/>
              <w:right w:val="single" w:sz="4" w:space="0" w:color="auto"/>
            </w:tcBorders>
            <w:shd w:val="clear" w:color="auto" w:fill="auto"/>
            <w:noWrap/>
            <w:vAlign w:val="center"/>
            <w:hideMark/>
          </w:tcPr>
          <w:p w14:paraId="0AA0F8C9"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675.9</w:t>
            </w:r>
          </w:p>
        </w:tc>
        <w:tc>
          <w:tcPr>
            <w:tcW w:w="1640" w:type="dxa"/>
            <w:tcBorders>
              <w:top w:val="nil"/>
              <w:left w:val="nil"/>
              <w:bottom w:val="single" w:sz="4" w:space="0" w:color="auto"/>
              <w:right w:val="single" w:sz="4" w:space="0" w:color="auto"/>
            </w:tcBorders>
            <w:shd w:val="clear" w:color="auto" w:fill="auto"/>
            <w:noWrap/>
            <w:vAlign w:val="center"/>
            <w:hideMark/>
          </w:tcPr>
          <w:p w14:paraId="5C74FE0D"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600.2</w:t>
            </w:r>
          </w:p>
        </w:tc>
        <w:tc>
          <w:tcPr>
            <w:tcW w:w="1320" w:type="dxa"/>
            <w:tcBorders>
              <w:top w:val="nil"/>
              <w:left w:val="nil"/>
              <w:bottom w:val="single" w:sz="4" w:space="0" w:color="auto"/>
              <w:right w:val="single" w:sz="4" w:space="0" w:color="auto"/>
            </w:tcBorders>
            <w:shd w:val="clear" w:color="auto" w:fill="auto"/>
            <w:noWrap/>
            <w:vAlign w:val="center"/>
            <w:hideMark/>
          </w:tcPr>
          <w:p w14:paraId="0F431A0F"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690.7</w:t>
            </w:r>
          </w:p>
        </w:tc>
        <w:tc>
          <w:tcPr>
            <w:tcW w:w="2320" w:type="dxa"/>
            <w:tcBorders>
              <w:top w:val="nil"/>
              <w:left w:val="nil"/>
              <w:bottom w:val="single" w:sz="4" w:space="0" w:color="auto"/>
              <w:right w:val="single" w:sz="4" w:space="0" w:color="auto"/>
            </w:tcBorders>
            <w:shd w:val="clear" w:color="auto" w:fill="auto"/>
            <w:noWrap/>
            <w:vAlign w:val="center"/>
            <w:hideMark/>
          </w:tcPr>
          <w:p w14:paraId="1C4B630E"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654.6</w:t>
            </w:r>
          </w:p>
        </w:tc>
        <w:tc>
          <w:tcPr>
            <w:tcW w:w="2300" w:type="dxa"/>
            <w:tcBorders>
              <w:top w:val="nil"/>
              <w:left w:val="nil"/>
              <w:bottom w:val="single" w:sz="4" w:space="0" w:color="auto"/>
              <w:right w:val="single" w:sz="4" w:space="0" w:color="auto"/>
            </w:tcBorders>
            <w:shd w:val="clear" w:color="auto" w:fill="auto"/>
            <w:noWrap/>
            <w:vAlign w:val="center"/>
            <w:hideMark/>
          </w:tcPr>
          <w:p w14:paraId="1323CD01" w14:textId="77777777" w:rsidR="00C652D6" w:rsidRPr="00C652D6" w:rsidRDefault="00C652D6" w:rsidP="00C652D6">
            <w:pPr>
              <w:spacing w:after="0" w:line="240" w:lineRule="auto"/>
              <w:jc w:val="center"/>
              <w:rPr>
                <w:rFonts w:ascii="Aptos Narrow" w:eastAsia="Times New Roman" w:hAnsi="Aptos Narrow" w:cs="Times New Roman"/>
                <w:color w:val="000000"/>
                <w:lang w:bidi="hi-IN"/>
              </w:rPr>
            </w:pPr>
            <w:r w:rsidRPr="00C652D6">
              <w:rPr>
                <w:rFonts w:ascii="Aptos Narrow" w:eastAsia="Times New Roman" w:hAnsi="Aptos Narrow" w:cs="Times New Roman"/>
                <w:color w:val="000000"/>
                <w:lang w:bidi="hi-IN"/>
              </w:rPr>
              <w:t>675.9</w:t>
            </w:r>
          </w:p>
        </w:tc>
      </w:tr>
    </w:tbl>
    <w:p w14:paraId="65361F80" w14:textId="698735DE" w:rsidR="00877356" w:rsidRDefault="00D107F9" w:rsidP="00D107F9">
      <w:pPr>
        <w:jc w:val="center"/>
      </w:pPr>
      <w:r>
        <w:t xml:space="preserve">Table 2. Forecasted </w:t>
      </w:r>
      <w:proofErr w:type="gramStart"/>
      <w:r>
        <w:t>values</w:t>
      </w:r>
      <w:proofErr w:type="gramEnd"/>
    </w:p>
    <w:p w14:paraId="4A07834A" w14:textId="14069CBE" w:rsidR="00C652D6" w:rsidRDefault="00877356" w:rsidP="00424514">
      <w:r w:rsidRPr="00877356">
        <w:t>Subsequently, we calculated the forecast errors using Mean Absolute Error (MAE) and Root Mean</w:t>
      </w:r>
      <w:r w:rsidR="006A3D65">
        <w:t xml:space="preserve"> </w:t>
      </w:r>
      <w:r w:rsidRPr="00877356">
        <w:t>Square Error (RMSE), which are summarized as follows:</w:t>
      </w:r>
    </w:p>
    <w:tbl>
      <w:tblPr>
        <w:tblW w:w="3640" w:type="dxa"/>
        <w:jc w:val="center"/>
        <w:tblLook w:val="04A0" w:firstRow="1" w:lastRow="0" w:firstColumn="1" w:lastColumn="0" w:noHBand="0" w:noVBand="1"/>
      </w:tblPr>
      <w:tblGrid>
        <w:gridCol w:w="2360"/>
        <w:gridCol w:w="720"/>
        <w:gridCol w:w="735"/>
      </w:tblGrid>
      <w:tr w:rsidR="00BA38CD" w:rsidRPr="00BA38CD" w14:paraId="4842FA61" w14:textId="77777777" w:rsidTr="00BA38CD">
        <w:trPr>
          <w:trHeight w:val="290"/>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299A1" w14:textId="77777777" w:rsidR="00BA38CD" w:rsidRPr="00BA38CD" w:rsidRDefault="00BA38CD" w:rsidP="00BA38CD">
            <w:pPr>
              <w:spacing w:after="0" w:line="240" w:lineRule="auto"/>
              <w:jc w:val="center"/>
              <w:rPr>
                <w:rFonts w:ascii="Aptos Narrow" w:eastAsia="Times New Roman" w:hAnsi="Aptos Narrow" w:cs="Times New Roman"/>
                <w:b/>
                <w:bCs/>
                <w:color w:val="000000"/>
                <w:lang w:bidi="hi-IN"/>
              </w:rPr>
            </w:pPr>
            <w:r w:rsidRPr="00BA38CD">
              <w:rPr>
                <w:rFonts w:ascii="Aptos Narrow" w:eastAsia="Times New Roman" w:hAnsi="Aptos Narrow" w:cs="Times New Roman"/>
                <w:b/>
                <w:bCs/>
                <w:color w:val="000000"/>
                <w:lang w:bidi="hi-IN"/>
              </w:rPr>
              <w:t>Forecast Method</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94C988C" w14:textId="77777777" w:rsidR="00BA38CD" w:rsidRPr="00BA38CD" w:rsidRDefault="00BA38CD" w:rsidP="00BA38CD">
            <w:pPr>
              <w:spacing w:after="0" w:line="240" w:lineRule="auto"/>
              <w:jc w:val="center"/>
              <w:rPr>
                <w:rFonts w:ascii="Aptos Narrow" w:eastAsia="Times New Roman" w:hAnsi="Aptos Narrow" w:cs="Times New Roman"/>
                <w:b/>
                <w:bCs/>
                <w:color w:val="000000"/>
                <w:lang w:bidi="hi-IN"/>
              </w:rPr>
            </w:pPr>
            <w:r w:rsidRPr="00BA38CD">
              <w:rPr>
                <w:rFonts w:ascii="Aptos Narrow" w:eastAsia="Times New Roman" w:hAnsi="Aptos Narrow" w:cs="Times New Roman"/>
                <w:b/>
                <w:bCs/>
                <w:color w:val="000000"/>
                <w:lang w:bidi="hi-IN"/>
              </w:rPr>
              <w:t>MAE</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2A84EB48" w14:textId="77777777" w:rsidR="00BA38CD" w:rsidRPr="00BA38CD" w:rsidRDefault="00BA38CD" w:rsidP="00BA38CD">
            <w:pPr>
              <w:spacing w:after="0" w:line="240" w:lineRule="auto"/>
              <w:jc w:val="center"/>
              <w:rPr>
                <w:rFonts w:ascii="Aptos Narrow" w:eastAsia="Times New Roman" w:hAnsi="Aptos Narrow" w:cs="Times New Roman"/>
                <w:b/>
                <w:bCs/>
                <w:color w:val="000000"/>
                <w:lang w:bidi="hi-IN"/>
              </w:rPr>
            </w:pPr>
            <w:r w:rsidRPr="00BA38CD">
              <w:rPr>
                <w:rFonts w:ascii="Aptos Narrow" w:eastAsia="Times New Roman" w:hAnsi="Aptos Narrow" w:cs="Times New Roman"/>
                <w:b/>
                <w:bCs/>
                <w:color w:val="000000"/>
                <w:lang w:bidi="hi-IN"/>
              </w:rPr>
              <w:t>RMSE</w:t>
            </w:r>
          </w:p>
        </w:tc>
      </w:tr>
      <w:tr w:rsidR="00BA38CD" w:rsidRPr="00BA38CD" w14:paraId="625D9A72" w14:textId="77777777" w:rsidTr="00BA38CD">
        <w:trPr>
          <w:trHeight w:val="29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4C8C312E"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Drift</w:t>
            </w:r>
          </w:p>
        </w:tc>
        <w:tc>
          <w:tcPr>
            <w:tcW w:w="640" w:type="dxa"/>
            <w:tcBorders>
              <w:top w:val="nil"/>
              <w:left w:val="nil"/>
              <w:bottom w:val="single" w:sz="4" w:space="0" w:color="auto"/>
              <w:right w:val="single" w:sz="4" w:space="0" w:color="auto"/>
            </w:tcBorders>
            <w:shd w:val="clear" w:color="auto" w:fill="auto"/>
            <w:noWrap/>
            <w:vAlign w:val="center"/>
            <w:hideMark/>
          </w:tcPr>
          <w:p w14:paraId="394798AA"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65</w:t>
            </w:r>
          </w:p>
        </w:tc>
        <w:tc>
          <w:tcPr>
            <w:tcW w:w="640" w:type="dxa"/>
            <w:tcBorders>
              <w:top w:val="nil"/>
              <w:left w:val="nil"/>
              <w:bottom w:val="single" w:sz="4" w:space="0" w:color="auto"/>
              <w:right w:val="single" w:sz="4" w:space="0" w:color="auto"/>
            </w:tcBorders>
            <w:shd w:val="clear" w:color="auto" w:fill="auto"/>
            <w:noWrap/>
            <w:vAlign w:val="center"/>
            <w:hideMark/>
          </w:tcPr>
          <w:p w14:paraId="0AB87B44"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69.1</w:t>
            </w:r>
          </w:p>
        </w:tc>
      </w:tr>
      <w:tr w:rsidR="00BA38CD" w:rsidRPr="00BA38CD" w14:paraId="64A2940B" w14:textId="77777777" w:rsidTr="00BA38CD">
        <w:trPr>
          <w:trHeight w:val="29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3BFAF0D7"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Naive</w:t>
            </w:r>
          </w:p>
        </w:tc>
        <w:tc>
          <w:tcPr>
            <w:tcW w:w="640" w:type="dxa"/>
            <w:tcBorders>
              <w:top w:val="nil"/>
              <w:left w:val="nil"/>
              <w:bottom w:val="single" w:sz="4" w:space="0" w:color="auto"/>
              <w:right w:val="single" w:sz="4" w:space="0" w:color="auto"/>
            </w:tcBorders>
            <w:shd w:val="clear" w:color="auto" w:fill="auto"/>
            <w:noWrap/>
            <w:vAlign w:val="center"/>
            <w:hideMark/>
          </w:tcPr>
          <w:p w14:paraId="24F63163"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74.3</w:t>
            </w:r>
          </w:p>
        </w:tc>
        <w:tc>
          <w:tcPr>
            <w:tcW w:w="640" w:type="dxa"/>
            <w:tcBorders>
              <w:top w:val="nil"/>
              <w:left w:val="nil"/>
              <w:bottom w:val="single" w:sz="4" w:space="0" w:color="auto"/>
              <w:right w:val="single" w:sz="4" w:space="0" w:color="auto"/>
            </w:tcBorders>
            <w:shd w:val="clear" w:color="auto" w:fill="auto"/>
            <w:noWrap/>
            <w:vAlign w:val="center"/>
            <w:hideMark/>
          </w:tcPr>
          <w:p w14:paraId="13D16F2C"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79</w:t>
            </w:r>
          </w:p>
        </w:tc>
      </w:tr>
      <w:tr w:rsidR="00BA38CD" w:rsidRPr="00BA38CD" w14:paraId="374436BF" w14:textId="77777777" w:rsidTr="00BA38CD">
        <w:trPr>
          <w:trHeight w:val="29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4C165884"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Moving Average</w:t>
            </w:r>
          </w:p>
        </w:tc>
        <w:tc>
          <w:tcPr>
            <w:tcW w:w="640" w:type="dxa"/>
            <w:tcBorders>
              <w:top w:val="nil"/>
              <w:left w:val="nil"/>
              <w:bottom w:val="single" w:sz="4" w:space="0" w:color="auto"/>
              <w:right w:val="single" w:sz="4" w:space="0" w:color="auto"/>
            </w:tcBorders>
            <w:shd w:val="clear" w:color="auto" w:fill="auto"/>
            <w:noWrap/>
            <w:vAlign w:val="center"/>
            <w:hideMark/>
          </w:tcPr>
          <w:p w14:paraId="104E96B9"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95.6</w:t>
            </w:r>
          </w:p>
        </w:tc>
        <w:tc>
          <w:tcPr>
            <w:tcW w:w="640" w:type="dxa"/>
            <w:tcBorders>
              <w:top w:val="nil"/>
              <w:left w:val="nil"/>
              <w:bottom w:val="single" w:sz="4" w:space="0" w:color="auto"/>
              <w:right w:val="single" w:sz="4" w:space="0" w:color="auto"/>
            </w:tcBorders>
            <w:shd w:val="clear" w:color="auto" w:fill="auto"/>
            <w:noWrap/>
            <w:vAlign w:val="center"/>
            <w:hideMark/>
          </w:tcPr>
          <w:p w14:paraId="31F8F7B9"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99.3</w:t>
            </w:r>
          </w:p>
        </w:tc>
      </w:tr>
      <w:tr w:rsidR="00BA38CD" w:rsidRPr="00BA38CD" w14:paraId="149936BD" w14:textId="77777777" w:rsidTr="00BA38CD">
        <w:trPr>
          <w:trHeight w:val="29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4EF4FC40"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Seasonal Naive Forecast</w:t>
            </w:r>
          </w:p>
        </w:tc>
        <w:tc>
          <w:tcPr>
            <w:tcW w:w="640" w:type="dxa"/>
            <w:tcBorders>
              <w:top w:val="nil"/>
              <w:left w:val="nil"/>
              <w:bottom w:val="single" w:sz="4" w:space="0" w:color="auto"/>
              <w:right w:val="single" w:sz="4" w:space="0" w:color="auto"/>
            </w:tcBorders>
            <w:shd w:val="clear" w:color="auto" w:fill="auto"/>
            <w:noWrap/>
            <w:vAlign w:val="center"/>
            <w:hideMark/>
          </w:tcPr>
          <w:p w14:paraId="277E0C4D"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109.1</w:t>
            </w:r>
          </w:p>
        </w:tc>
        <w:tc>
          <w:tcPr>
            <w:tcW w:w="640" w:type="dxa"/>
            <w:tcBorders>
              <w:top w:val="nil"/>
              <w:left w:val="nil"/>
              <w:bottom w:val="single" w:sz="4" w:space="0" w:color="auto"/>
              <w:right w:val="single" w:sz="4" w:space="0" w:color="auto"/>
            </w:tcBorders>
            <w:shd w:val="clear" w:color="auto" w:fill="auto"/>
            <w:noWrap/>
            <w:vAlign w:val="center"/>
            <w:hideMark/>
          </w:tcPr>
          <w:p w14:paraId="29AAB2C7"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109.1</w:t>
            </w:r>
          </w:p>
        </w:tc>
      </w:tr>
      <w:tr w:rsidR="00BA38CD" w:rsidRPr="00BA38CD" w14:paraId="4F2ACED9" w14:textId="77777777" w:rsidTr="00BA38CD">
        <w:trPr>
          <w:trHeight w:val="290"/>
          <w:jc w:val="center"/>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54D5BE36"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Average</w:t>
            </w:r>
          </w:p>
        </w:tc>
        <w:tc>
          <w:tcPr>
            <w:tcW w:w="640" w:type="dxa"/>
            <w:tcBorders>
              <w:top w:val="nil"/>
              <w:left w:val="nil"/>
              <w:bottom w:val="single" w:sz="4" w:space="0" w:color="auto"/>
              <w:right w:val="single" w:sz="4" w:space="0" w:color="auto"/>
            </w:tcBorders>
            <w:shd w:val="clear" w:color="auto" w:fill="auto"/>
            <w:noWrap/>
            <w:vAlign w:val="center"/>
            <w:hideMark/>
          </w:tcPr>
          <w:p w14:paraId="26EEF762"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150</w:t>
            </w:r>
          </w:p>
        </w:tc>
        <w:tc>
          <w:tcPr>
            <w:tcW w:w="640" w:type="dxa"/>
            <w:tcBorders>
              <w:top w:val="nil"/>
              <w:left w:val="nil"/>
              <w:bottom w:val="single" w:sz="4" w:space="0" w:color="auto"/>
              <w:right w:val="single" w:sz="4" w:space="0" w:color="auto"/>
            </w:tcBorders>
            <w:shd w:val="clear" w:color="auto" w:fill="auto"/>
            <w:noWrap/>
            <w:vAlign w:val="center"/>
            <w:hideMark/>
          </w:tcPr>
          <w:p w14:paraId="3895354E" w14:textId="77777777" w:rsidR="00BA38CD" w:rsidRPr="00877356" w:rsidRDefault="00BA38CD" w:rsidP="00BA38CD">
            <w:pPr>
              <w:spacing w:after="0" w:line="240" w:lineRule="auto"/>
              <w:jc w:val="center"/>
              <w:rPr>
                <w:rFonts w:ascii="Aptos Narrow" w:eastAsia="Times New Roman" w:hAnsi="Aptos Narrow" w:cs="Times New Roman"/>
                <w:color w:val="000000"/>
                <w:lang w:bidi="hi-IN"/>
              </w:rPr>
            </w:pPr>
            <w:r w:rsidRPr="00877356">
              <w:rPr>
                <w:rFonts w:ascii="Aptos Narrow" w:eastAsia="Times New Roman" w:hAnsi="Aptos Narrow" w:cs="Times New Roman"/>
                <w:color w:val="000000"/>
                <w:lang w:bidi="hi-IN"/>
              </w:rPr>
              <w:t>152.3</w:t>
            </w:r>
          </w:p>
        </w:tc>
      </w:tr>
    </w:tbl>
    <w:p w14:paraId="3698241E" w14:textId="77777777" w:rsidR="002A2920" w:rsidRDefault="002A2920" w:rsidP="00D107F9">
      <w:pPr>
        <w:jc w:val="center"/>
      </w:pPr>
    </w:p>
    <w:p w14:paraId="082F349D" w14:textId="12F40608" w:rsidR="00C652D6" w:rsidRDefault="00D107F9" w:rsidP="00D107F9">
      <w:pPr>
        <w:jc w:val="center"/>
      </w:pPr>
      <w:r>
        <w:t xml:space="preserve">Table 3. Forecast error </w:t>
      </w:r>
      <w:proofErr w:type="gramStart"/>
      <w:r>
        <w:t>comparison</w:t>
      </w:r>
      <w:proofErr w:type="gramEnd"/>
    </w:p>
    <w:p w14:paraId="42824A4F" w14:textId="4479BF98" w:rsidR="00877356" w:rsidRDefault="00877356" w:rsidP="00424514">
      <w:r w:rsidRPr="00877356">
        <w:lastRenderedPageBreak/>
        <w:t>The error metrics underscore the superior performance of the drift method in capturing the series' trajectory, albeit still leaving room for improvement. The higher errors in other models point to the need for more advanced techniques that can better encapsulate the complex dynamics of the series.</w:t>
      </w:r>
    </w:p>
    <w:p w14:paraId="2BCFF15D" w14:textId="77777777" w:rsidR="00C652D6" w:rsidRPr="00424514" w:rsidRDefault="00C652D6" w:rsidP="00424514"/>
    <w:p w14:paraId="27B8CCD8" w14:textId="12C7360D" w:rsidR="00502E60" w:rsidRDefault="00502E60" w:rsidP="002E3CCD">
      <w:pPr>
        <w:pStyle w:val="Heading2"/>
      </w:pPr>
      <w:r>
        <w:t>Forecasting Techniques Continued</w:t>
      </w:r>
    </w:p>
    <w:p w14:paraId="784A9329" w14:textId="5DBFE54C" w:rsidR="006121FC" w:rsidRDefault="00877356" w:rsidP="00502E60">
      <w:r w:rsidRPr="00877356">
        <w:t>Building on our preliminary models, we progressed to more advanced techniques with the ability to capture different levels of data patterns such as trend and seasonality. We applied Exponential Smoothing, Double Exponential Smoothing, and Holt-Winters Forecasting models to our dataset.</w:t>
      </w:r>
    </w:p>
    <w:p w14:paraId="31315B8D" w14:textId="55CBCA5F" w:rsidR="00502E60" w:rsidRDefault="00502E60" w:rsidP="00502E60">
      <w:r w:rsidRPr="00502E60">
        <w:rPr>
          <w:noProof/>
        </w:rPr>
        <w:drawing>
          <wp:inline distT="0" distB="0" distL="0" distR="0" wp14:anchorId="18448894" wp14:editId="2E28935C">
            <wp:extent cx="5943600" cy="3190875"/>
            <wp:effectExtent l="0" t="0" r="0" b="9525"/>
            <wp:docPr id="16183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48408" name=""/>
                    <pic:cNvPicPr/>
                  </pic:nvPicPr>
                  <pic:blipFill>
                    <a:blip r:embed="rId11"/>
                    <a:stretch>
                      <a:fillRect/>
                    </a:stretch>
                  </pic:blipFill>
                  <pic:spPr>
                    <a:xfrm>
                      <a:off x="0" y="0"/>
                      <a:ext cx="5943600" cy="3190875"/>
                    </a:xfrm>
                    <a:prstGeom prst="rect">
                      <a:avLst/>
                    </a:prstGeom>
                  </pic:spPr>
                </pic:pic>
              </a:graphicData>
            </a:graphic>
          </wp:inline>
        </w:drawing>
      </w:r>
    </w:p>
    <w:p w14:paraId="3BA93D50" w14:textId="712B5218" w:rsidR="009E368D" w:rsidRDefault="009E368D" w:rsidP="009E368D">
      <w:pPr>
        <w:jc w:val="center"/>
      </w:pPr>
      <w:r>
        <w:t>Figure 5. Expanding from basic forecasting methods. Holt Winters, Exp Smoothing, Double Exp Smoothing</w:t>
      </w:r>
    </w:p>
    <w:p w14:paraId="47BA399D" w14:textId="6540FFF1" w:rsidR="00502E60" w:rsidRDefault="006121FC" w:rsidP="00502E60">
      <w:r w:rsidRPr="006121FC">
        <w:t>The forecasts generated using these advanced techniques for the test period are provided below:</w:t>
      </w:r>
    </w:p>
    <w:tbl>
      <w:tblPr>
        <w:tblW w:w="8220" w:type="dxa"/>
        <w:jc w:val="center"/>
        <w:tblLook w:val="04A0" w:firstRow="1" w:lastRow="0" w:firstColumn="1" w:lastColumn="0" w:noHBand="0" w:noVBand="1"/>
      </w:tblPr>
      <w:tblGrid>
        <w:gridCol w:w="1135"/>
        <w:gridCol w:w="831"/>
        <w:gridCol w:w="2240"/>
        <w:gridCol w:w="2960"/>
        <w:gridCol w:w="1260"/>
      </w:tblGrid>
      <w:tr w:rsidR="00502E60" w:rsidRPr="00502E60" w14:paraId="2E9FF18A" w14:textId="77777777" w:rsidTr="00502E60">
        <w:trPr>
          <w:trHeight w:val="290"/>
          <w:jc w:val="center"/>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7C1FF1"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t>Data</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2BE23FB6"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t>Actual</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21B2F6D2"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t>Exponential Smoothing</w:t>
            </w:r>
          </w:p>
        </w:tc>
        <w:tc>
          <w:tcPr>
            <w:tcW w:w="2960" w:type="dxa"/>
            <w:tcBorders>
              <w:top w:val="single" w:sz="4" w:space="0" w:color="auto"/>
              <w:left w:val="nil"/>
              <w:bottom w:val="single" w:sz="4" w:space="0" w:color="auto"/>
              <w:right w:val="single" w:sz="4" w:space="0" w:color="auto"/>
            </w:tcBorders>
            <w:shd w:val="clear" w:color="auto" w:fill="auto"/>
            <w:noWrap/>
            <w:vAlign w:val="center"/>
            <w:hideMark/>
          </w:tcPr>
          <w:p w14:paraId="69B397A0"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t>Double Exponential Smoothing</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29CCBDF4"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t>Holt-Winters</w:t>
            </w:r>
          </w:p>
        </w:tc>
      </w:tr>
      <w:tr w:rsidR="00502E60" w:rsidRPr="00502E60" w14:paraId="0EBE432F" w14:textId="77777777" w:rsidTr="00502E60">
        <w:trPr>
          <w:trHeight w:val="29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490201F1"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7/1/2022</w:t>
            </w:r>
          </w:p>
        </w:tc>
        <w:tc>
          <w:tcPr>
            <w:tcW w:w="760" w:type="dxa"/>
            <w:tcBorders>
              <w:top w:val="nil"/>
              <w:left w:val="nil"/>
              <w:bottom w:val="single" w:sz="4" w:space="0" w:color="auto"/>
              <w:right w:val="single" w:sz="4" w:space="0" w:color="auto"/>
            </w:tcBorders>
            <w:shd w:val="clear" w:color="auto" w:fill="auto"/>
            <w:noWrap/>
            <w:vAlign w:val="center"/>
            <w:hideMark/>
          </w:tcPr>
          <w:p w14:paraId="6D1146FA"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709.26</w:t>
            </w:r>
          </w:p>
        </w:tc>
        <w:tc>
          <w:tcPr>
            <w:tcW w:w="2240" w:type="dxa"/>
            <w:tcBorders>
              <w:top w:val="nil"/>
              <w:left w:val="nil"/>
              <w:bottom w:val="single" w:sz="4" w:space="0" w:color="auto"/>
              <w:right w:val="single" w:sz="4" w:space="0" w:color="auto"/>
            </w:tcBorders>
            <w:shd w:val="clear" w:color="auto" w:fill="auto"/>
            <w:noWrap/>
            <w:vAlign w:val="center"/>
            <w:hideMark/>
          </w:tcPr>
          <w:p w14:paraId="4ADCC926"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636.45</w:t>
            </w:r>
          </w:p>
        </w:tc>
        <w:tc>
          <w:tcPr>
            <w:tcW w:w="2960" w:type="dxa"/>
            <w:tcBorders>
              <w:top w:val="nil"/>
              <w:left w:val="nil"/>
              <w:bottom w:val="single" w:sz="4" w:space="0" w:color="auto"/>
              <w:right w:val="single" w:sz="4" w:space="0" w:color="auto"/>
            </w:tcBorders>
            <w:shd w:val="clear" w:color="auto" w:fill="auto"/>
            <w:noWrap/>
            <w:vAlign w:val="center"/>
            <w:hideMark/>
          </w:tcPr>
          <w:p w14:paraId="131D990A"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670.68</w:t>
            </w:r>
          </w:p>
        </w:tc>
        <w:tc>
          <w:tcPr>
            <w:tcW w:w="1260" w:type="dxa"/>
            <w:tcBorders>
              <w:top w:val="nil"/>
              <w:left w:val="nil"/>
              <w:bottom w:val="single" w:sz="4" w:space="0" w:color="auto"/>
              <w:right w:val="single" w:sz="4" w:space="0" w:color="auto"/>
            </w:tcBorders>
            <w:shd w:val="clear" w:color="auto" w:fill="auto"/>
            <w:noWrap/>
            <w:vAlign w:val="center"/>
            <w:hideMark/>
          </w:tcPr>
          <w:p w14:paraId="7184CD20"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708.24</w:t>
            </w:r>
          </w:p>
        </w:tc>
      </w:tr>
      <w:tr w:rsidR="00502E60" w:rsidRPr="00502E60" w14:paraId="1B15C076" w14:textId="77777777" w:rsidTr="00502E60">
        <w:trPr>
          <w:trHeight w:val="29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34240D9C"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10/1/2022</w:t>
            </w:r>
          </w:p>
        </w:tc>
        <w:tc>
          <w:tcPr>
            <w:tcW w:w="760" w:type="dxa"/>
            <w:tcBorders>
              <w:top w:val="nil"/>
              <w:left w:val="nil"/>
              <w:bottom w:val="single" w:sz="4" w:space="0" w:color="auto"/>
              <w:right w:val="single" w:sz="4" w:space="0" w:color="auto"/>
            </w:tcBorders>
            <w:shd w:val="clear" w:color="auto" w:fill="auto"/>
            <w:noWrap/>
            <w:vAlign w:val="center"/>
            <w:hideMark/>
          </w:tcPr>
          <w:p w14:paraId="662AE19A"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762.56</w:t>
            </w:r>
          </w:p>
        </w:tc>
        <w:tc>
          <w:tcPr>
            <w:tcW w:w="2240" w:type="dxa"/>
            <w:tcBorders>
              <w:top w:val="nil"/>
              <w:left w:val="nil"/>
              <w:bottom w:val="single" w:sz="4" w:space="0" w:color="auto"/>
              <w:right w:val="single" w:sz="4" w:space="0" w:color="auto"/>
            </w:tcBorders>
            <w:shd w:val="clear" w:color="auto" w:fill="auto"/>
            <w:noWrap/>
            <w:vAlign w:val="center"/>
            <w:hideMark/>
          </w:tcPr>
          <w:p w14:paraId="161DB92C"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636.45</w:t>
            </w:r>
          </w:p>
        </w:tc>
        <w:tc>
          <w:tcPr>
            <w:tcW w:w="2960" w:type="dxa"/>
            <w:tcBorders>
              <w:top w:val="nil"/>
              <w:left w:val="nil"/>
              <w:bottom w:val="single" w:sz="4" w:space="0" w:color="auto"/>
              <w:right w:val="single" w:sz="4" w:space="0" w:color="auto"/>
            </w:tcBorders>
            <w:shd w:val="clear" w:color="auto" w:fill="auto"/>
            <w:noWrap/>
            <w:vAlign w:val="center"/>
            <w:hideMark/>
          </w:tcPr>
          <w:p w14:paraId="0D5599DD"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674.13</w:t>
            </w:r>
          </w:p>
        </w:tc>
        <w:tc>
          <w:tcPr>
            <w:tcW w:w="1260" w:type="dxa"/>
            <w:tcBorders>
              <w:top w:val="nil"/>
              <w:left w:val="nil"/>
              <w:bottom w:val="single" w:sz="4" w:space="0" w:color="auto"/>
              <w:right w:val="single" w:sz="4" w:space="0" w:color="auto"/>
            </w:tcBorders>
            <w:shd w:val="clear" w:color="auto" w:fill="auto"/>
            <w:noWrap/>
            <w:vAlign w:val="center"/>
            <w:hideMark/>
          </w:tcPr>
          <w:p w14:paraId="27FC74B3"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761.61</w:t>
            </w:r>
          </w:p>
        </w:tc>
      </w:tr>
      <w:tr w:rsidR="00502E60" w:rsidRPr="00502E60" w14:paraId="2B3E6C1A" w14:textId="77777777" w:rsidTr="00502E60">
        <w:trPr>
          <w:trHeight w:val="29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C8522A5"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1/1/2023</w:t>
            </w:r>
          </w:p>
        </w:tc>
        <w:tc>
          <w:tcPr>
            <w:tcW w:w="760" w:type="dxa"/>
            <w:tcBorders>
              <w:top w:val="nil"/>
              <w:left w:val="nil"/>
              <w:bottom w:val="single" w:sz="4" w:space="0" w:color="auto"/>
              <w:right w:val="single" w:sz="4" w:space="0" w:color="auto"/>
            </w:tcBorders>
            <w:shd w:val="clear" w:color="auto" w:fill="auto"/>
            <w:noWrap/>
            <w:vAlign w:val="center"/>
            <w:hideMark/>
          </w:tcPr>
          <w:p w14:paraId="0A8EDB20"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746.56</w:t>
            </w:r>
          </w:p>
        </w:tc>
        <w:tc>
          <w:tcPr>
            <w:tcW w:w="2240" w:type="dxa"/>
            <w:tcBorders>
              <w:top w:val="nil"/>
              <w:left w:val="nil"/>
              <w:bottom w:val="single" w:sz="4" w:space="0" w:color="auto"/>
              <w:right w:val="single" w:sz="4" w:space="0" w:color="auto"/>
            </w:tcBorders>
            <w:shd w:val="clear" w:color="auto" w:fill="auto"/>
            <w:noWrap/>
            <w:vAlign w:val="center"/>
            <w:hideMark/>
          </w:tcPr>
          <w:p w14:paraId="25792388"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636.45</w:t>
            </w:r>
          </w:p>
        </w:tc>
        <w:tc>
          <w:tcPr>
            <w:tcW w:w="2960" w:type="dxa"/>
            <w:tcBorders>
              <w:top w:val="nil"/>
              <w:left w:val="nil"/>
              <w:bottom w:val="single" w:sz="4" w:space="0" w:color="auto"/>
              <w:right w:val="single" w:sz="4" w:space="0" w:color="auto"/>
            </w:tcBorders>
            <w:shd w:val="clear" w:color="auto" w:fill="auto"/>
            <w:noWrap/>
            <w:vAlign w:val="center"/>
            <w:hideMark/>
          </w:tcPr>
          <w:p w14:paraId="3354E822"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677.59</w:t>
            </w:r>
          </w:p>
        </w:tc>
        <w:tc>
          <w:tcPr>
            <w:tcW w:w="1260" w:type="dxa"/>
            <w:tcBorders>
              <w:top w:val="nil"/>
              <w:left w:val="nil"/>
              <w:bottom w:val="single" w:sz="4" w:space="0" w:color="auto"/>
              <w:right w:val="single" w:sz="4" w:space="0" w:color="auto"/>
            </w:tcBorders>
            <w:shd w:val="clear" w:color="auto" w:fill="auto"/>
            <w:noWrap/>
            <w:vAlign w:val="center"/>
            <w:hideMark/>
          </w:tcPr>
          <w:p w14:paraId="5B5A1E04"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755.57</w:t>
            </w:r>
          </w:p>
        </w:tc>
      </w:tr>
      <w:tr w:rsidR="00502E60" w:rsidRPr="00502E60" w14:paraId="62C61756" w14:textId="77777777" w:rsidTr="00502E60">
        <w:trPr>
          <w:trHeight w:val="29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4C5E376"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4/1/2023</w:t>
            </w:r>
          </w:p>
        </w:tc>
        <w:tc>
          <w:tcPr>
            <w:tcW w:w="760" w:type="dxa"/>
            <w:tcBorders>
              <w:top w:val="nil"/>
              <w:left w:val="nil"/>
              <w:bottom w:val="single" w:sz="4" w:space="0" w:color="auto"/>
              <w:right w:val="single" w:sz="4" w:space="0" w:color="auto"/>
            </w:tcBorders>
            <w:shd w:val="clear" w:color="auto" w:fill="auto"/>
            <w:noWrap/>
            <w:vAlign w:val="center"/>
            <w:hideMark/>
          </w:tcPr>
          <w:p w14:paraId="06B3DA52"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782.22</w:t>
            </w:r>
          </w:p>
        </w:tc>
        <w:tc>
          <w:tcPr>
            <w:tcW w:w="2240" w:type="dxa"/>
            <w:tcBorders>
              <w:top w:val="nil"/>
              <w:left w:val="nil"/>
              <w:bottom w:val="single" w:sz="4" w:space="0" w:color="auto"/>
              <w:right w:val="single" w:sz="4" w:space="0" w:color="auto"/>
            </w:tcBorders>
            <w:shd w:val="clear" w:color="auto" w:fill="auto"/>
            <w:noWrap/>
            <w:vAlign w:val="center"/>
            <w:hideMark/>
          </w:tcPr>
          <w:p w14:paraId="3CCB34F6"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636.45</w:t>
            </w:r>
          </w:p>
        </w:tc>
        <w:tc>
          <w:tcPr>
            <w:tcW w:w="2960" w:type="dxa"/>
            <w:tcBorders>
              <w:top w:val="nil"/>
              <w:left w:val="nil"/>
              <w:bottom w:val="single" w:sz="4" w:space="0" w:color="auto"/>
              <w:right w:val="single" w:sz="4" w:space="0" w:color="auto"/>
            </w:tcBorders>
            <w:shd w:val="clear" w:color="auto" w:fill="auto"/>
            <w:noWrap/>
            <w:vAlign w:val="center"/>
            <w:hideMark/>
          </w:tcPr>
          <w:p w14:paraId="5ABB8B8B"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681.05</w:t>
            </w:r>
          </w:p>
        </w:tc>
        <w:tc>
          <w:tcPr>
            <w:tcW w:w="1260" w:type="dxa"/>
            <w:tcBorders>
              <w:top w:val="nil"/>
              <w:left w:val="nil"/>
              <w:bottom w:val="single" w:sz="4" w:space="0" w:color="auto"/>
              <w:right w:val="single" w:sz="4" w:space="0" w:color="auto"/>
            </w:tcBorders>
            <w:shd w:val="clear" w:color="auto" w:fill="auto"/>
            <w:noWrap/>
            <w:vAlign w:val="center"/>
            <w:hideMark/>
          </w:tcPr>
          <w:p w14:paraId="67E54CF4"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789.42</w:t>
            </w:r>
          </w:p>
        </w:tc>
      </w:tr>
    </w:tbl>
    <w:p w14:paraId="74E1836F" w14:textId="77777777" w:rsidR="002A2920" w:rsidRDefault="002A2920" w:rsidP="00D107F9">
      <w:pPr>
        <w:jc w:val="center"/>
      </w:pPr>
    </w:p>
    <w:p w14:paraId="637884A4" w14:textId="0A7C266C" w:rsidR="00502E60" w:rsidRDefault="00D107F9" w:rsidP="00D107F9">
      <w:pPr>
        <w:jc w:val="center"/>
      </w:pPr>
      <w:r>
        <w:t>Table 4. Forecasted values</w:t>
      </w:r>
      <w:r w:rsidR="002A2920">
        <w:t>.</w:t>
      </w:r>
    </w:p>
    <w:p w14:paraId="38F3F5FD" w14:textId="01776DE7" w:rsidR="00502E60" w:rsidRDefault="006121FC" w:rsidP="00502E60">
      <w:r w:rsidRPr="006121FC">
        <w:t>To evaluate the accuracy of these forecasts, we computed the Mean Absolute Error (MAE) and the Root Mean Square Error (RMSE) for each method:</w:t>
      </w:r>
    </w:p>
    <w:p w14:paraId="0D5120BB" w14:textId="77777777" w:rsidR="00D107F9" w:rsidRDefault="00D107F9" w:rsidP="00502E60"/>
    <w:tbl>
      <w:tblPr>
        <w:tblW w:w="6580" w:type="dxa"/>
        <w:jc w:val="center"/>
        <w:tblLook w:val="04A0" w:firstRow="1" w:lastRow="0" w:firstColumn="1" w:lastColumn="0" w:noHBand="0" w:noVBand="1"/>
      </w:tblPr>
      <w:tblGrid>
        <w:gridCol w:w="2960"/>
        <w:gridCol w:w="1277"/>
        <w:gridCol w:w="2360"/>
      </w:tblGrid>
      <w:tr w:rsidR="00502E60" w:rsidRPr="00502E60" w14:paraId="35500939" w14:textId="77777777" w:rsidTr="00502E60">
        <w:trPr>
          <w:trHeight w:val="290"/>
          <w:jc w:val="center"/>
        </w:trPr>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35B46"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lastRenderedPageBreak/>
              <w:t>Forecast Method</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0518A62"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t>MAE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1336B87B" w14:textId="77777777" w:rsidR="00502E60" w:rsidRPr="00502E60" w:rsidRDefault="00502E60" w:rsidP="00502E60">
            <w:pPr>
              <w:spacing w:after="0" w:line="240" w:lineRule="auto"/>
              <w:jc w:val="center"/>
              <w:rPr>
                <w:rFonts w:ascii="Aptos Narrow" w:eastAsia="Times New Roman" w:hAnsi="Aptos Narrow" w:cs="Times New Roman"/>
                <w:b/>
                <w:bCs/>
                <w:color w:val="000000"/>
                <w:lang w:bidi="hi-IN"/>
              </w:rPr>
            </w:pPr>
            <w:r w:rsidRPr="00502E60">
              <w:rPr>
                <w:rFonts w:ascii="Aptos Narrow" w:eastAsia="Times New Roman" w:hAnsi="Aptos Narrow" w:cs="Times New Roman"/>
                <w:b/>
                <w:bCs/>
                <w:color w:val="000000"/>
                <w:lang w:bidi="hi-IN"/>
              </w:rPr>
              <w:t>RMSE</w:t>
            </w:r>
          </w:p>
        </w:tc>
      </w:tr>
      <w:tr w:rsidR="00502E60" w:rsidRPr="00502E60" w14:paraId="3A2F2257" w14:textId="77777777" w:rsidTr="00502E60">
        <w:trPr>
          <w:trHeight w:val="290"/>
          <w:jc w:val="center"/>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14:paraId="5A7E8E92"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Holt-Winters</w:t>
            </w:r>
          </w:p>
        </w:tc>
        <w:tc>
          <w:tcPr>
            <w:tcW w:w="1260" w:type="dxa"/>
            <w:tcBorders>
              <w:top w:val="nil"/>
              <w:left w:val="nil"/>
              <w:bottom w:val="single" w:sz="4" w:space="0" w:color="auto"/>
              <w:right w:val="single" w:sz="4" w:space="0" w:color="auto"/>
            </w:tcBorders>
            <w:shd w:val="clear" w:color="auto" w:fill="auto"/>
            <w:noWrap/>
            <w:vAlign w:val="center"/>
            <w:hideMark/>
          </w:tcPr>
          <w:p w14:paraId="44306017"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4.544965</w:t>
            </w:r>
          </w:p>
        </w:tc>
        <w:tc>
          <w:tcPr>
            <w:tcW w:w="2360" w:type="dxa"/>
            <w:tcBorders>
              <w:top w:val="nil"/>
              <w:left w:val="nil"/>
              <w:bottom w:val="single" w:sz="4" w:space="0" w:color="auto"/>
              <w:right w:val="single" w:sz="4" w:space="0" w:color="auto"/>
            </w:tcBorders>
            <w:shd w:val="clear" w:color="auto" w:fill="auto"/>
            <w:noWrap/>
            <w:vAlign w:val="center"/>
            <w:hideMark/>
          </w:tcPr>
          <w:p w14:paraId="0EE31F29"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5.809062</w:t>
            </w:r>
          </w:p>
        </w:tc>
      </w:tr>
      <w:tr w:rsidR="00502E60" w:rsidRPr="00502E60" w14:paraId="009B1D94" w14:textId="77777777" w:rsidTr="00502E60">
        <w:trPr>
          <w:trHeight w:val="290"/>
          <w:jc w:val="center"/>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14:paraId="3D453128"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Double Exponential Smoothing</w:t>
            </w:r>
          </w:p>
        </w:tc>
        <w:tc>
          <w:tcPr>
            <w:tcW w:w="1260" w:type="dxa"/>
            <w:tcBorders>
              <w:top w:val="nil"/>
              <w:left w:val="nil"/>
              <w:bottom w:val="single" w:sz="4" w:space="0" w:color="auto"/>
              <w:right w:val="single" w:sz="4" w:space="0" w:color="auto"/>
            </w:tcBorders>
            <w:shd w:val="clear" w:color="auto" w:fill="auto"/>
            <w:noWrap/>
            <w:vAlign w:val="center"/>
            <w:hideMark/>
          </w:tcPr>
          <w:p w14:paraId="227BA54C"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74.287207</w:t>
            </w:r>
          </w:p>
        </w:tc>
        <w:tc>
          <w:tcPr>
            <w:tcW w:w="2360" w:type="dxa"/>
            <w:tcBorders>
              <w:top w:val="nil"/>
              <w:left w:val="nil"/>
              <w:bottom w:val="single" w:sz="4" w:space="0" w:color="auto"/>
              <w:right w:val="single" w:sz="4" w:space="0" w:color="auto"/>
            </w:tcBorders>
            <w:shd w:val="clear" w:color="auto" w:fill="auto"/>
            <w:noWrap/>
            <w:vAlign w:val="center"/>
            <w:hideMark/>
          </w:tcPr>
          <w:p w14:paraId="7C811F4F"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77.942767</w:t>
            </w:r>
          </w:p>
        </w:tc>
      </w:tr>
      <w:tr w:rsidR="00502E60" w:rsidRPr="00502E60" w14:paraId="25416A95" w14:textId="77777777" w:rsidTr="00502E60">
        <w:trPr>
          <w:trHeight w:val="290"/>
          <w:jc w:val="center"/>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14:paraId="59CA5E40"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Exponential Smoothing</w:t>
            </w:r>
          </w:p>
        </w:tc>
        <w:tc>
          <w:tcPr>
            <w:tcW w:w="1260" w:type="dxa"/>
            <w:tcBorders>
              <w:top w:val="nil"/>
              <w:left w:val="nil"/>
              <w:bottom w:val="single" w:sz="4" w:space="0" w:color="auto"/>
              <w:right w:val="single" w:sz="4" w:space="0" w:color="auto"/>
            </w:tcBorders>
            <w:shd w:val="clear" w:color="auto" w:fill="auto"/>
            <w:noWrap/>
            <w:vAlign w:val="center"/>
            <w:hideMark/>
          </w:tcPr>
          <w:p w14:paraId="438EB2E4"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113.695672</w:t>
            </w:r>
          </w:p>
        </w:tc>
        <w:tc>
          <w:tcPr>
            <w:tcW w:w="2360" w:type="dxa"/>
            <w:tcBorders>
              <w:top w:val="nil"/>
              <w:left w:val="nil"/>
              <w:bottom w:val="single" w:sz="4" w:space="0" w:color="auto"/>
              <w:right w:val="single" w:sz="4" w:space="0" w:color="auto"/>
            </w:tcBorders>
            <w:shd w:val="clear" w:color="auto" w:fill="auto"/>
            <w:noWrap/>
            <w:vAlign w:val="center"/>
            <w:hideMark/>
          </w:tcPr>
          <w:p w14:paraId="54719A83" w14:textId="77777777" w:rsidR="00502E60" w:rsidRPr="00502E60" w:rsidRDefault="00502E60" w:rsidP="00502E60">
            <w:pPr>
              <w:spacing w:after="0" w:line="240" w:lineRule="auto"/>
              <w:jc w:val="center"/>
              <w:rPr>
                <w:rFonts w:ascii="Aptos Narrow" w:eastAsia="Times New Roman" w:hAnsi="Aptos Narrow" w:cs="Times New Roman"/>
                <w:color w:val="000000"/>
                <w:lang w:bidi="hi-IN"/>
              </w:rPr>
            </w:pPr>
            <w:r w:rsidRPr="00502E60">
              <w:rPr>
                <w:rFonts w:ascii="Aptos Narrow" w:eastAsia="Times New Roman" w:hAnsi="Aptos Narrow" w:cs="Times New Roman"/>
                <w:color w:val="000000"/>
                <w:lang w:bidi="hi-IN"/>
              </w:rPr>
              <w:t>116.805604</w:t>
            </w:r>
          </w:p>
        </w:tc>
      </w:tr>
    </w:tbl>
    <w:p w14:paraId="142A07E1" w14:textId="77777777" w:rsidR="002A2920" w:rsidRDefault="002A2920" w:rsidP="00D107F9">
      <w:pPr>
        <w:jc w:val="center"/>
      </w:pPr>
    </w:p>
    <w:p w14:paraId="5EFFC977" w14:textId="4D60C31D" w:rsidR="00502E60" w:rsidRDefault="00D107F9" w:rsidP="00D107F9">
      <w:pPr>
        <w:jc w:val="center"/>
      </w:pPr>
      <w:r>
        <w:t>Table 5. Forecast error metrics</w:t>
      </w:r>
      <w:r w:rsidR="002A2920">
        <w:t>.</w:t>
      </w:r>
    </w:p>
    <w:p w14:paraId="075A6777" w14:textId="70CDEBA1" w:rsidR="006121FC" w:rsidRPr="006121FC" w:rsidRDefault="006121FC" w:rsidP="006121FC">
      <w:r w:rsidRPr="006121FC">
        <w:t>The Holt-Winters method demonstrated the highest accuracy with the lowest MAE and RMSE, suggesting its effectiveness in capturing the underlying patterns in the data. This is consistent with the seasonal patterns observed in consumer credit card balances, as Holt-Winters is designed to account for such seasonality. Conversely, Exponential Smoothing showed the highest errors, likely due to its inability to accommodate the trend and seasonal variations present in our series.</w:t>
      </w:r>
    </w:p>
    <w:p w14:paraId="02E844FD" w14:textId="25CC7F29" w:rsidR="00502E60" w:rsidRDefault="00502E60" w:rsidP="00502E60">
      <w:pPr>
        <w:pStyle w:val="Heading2"/>
      </w:pPr>
      <w:r>
        <w:t>Advanced Forecasting Techniques</w:t>
      </w:r>
      <w:r w:rsidR="00A16D27">
        <w:t xml:space="preserve"> </w:t>
      </w:r>
      <w:r w:rsidR="0043024F">
        <w:t>–</w:t>
      </w:r>
      <w:r w:rsidR="00A16D27">
        <w:t xml:space="preserve"> SARIMA</w:t>
      </w:r>
    </w:p>
    <w:p w14:paraId="58C80147" w14:textId="77777777" w:rsidR="006121FC" w:rsidRDefault="006121FC" w:rsidP="0043024F">
      <w:r w:rsidRPr="006121FC">
        <w:t>Given the pronounced seasonal variations in our dataset, we elected to utilize the Seasonal Autoregressive Integrated Moving Average (SARIMA) model for forecasting. SARIMA is particularly adept at handling data with both non-stationarity and seasonality, making it well-suited to our series.</w:t>
      </w:r>
    </w:p>
    <w:p w14:paraId="0F2785C6" w14:textId="7B572233" w:rsidR="0043024F" w:rsidRDefault="0043024F" w:rsidP="006121FC">
      <w:pPr>
        <w:jc w:val="center"/>
      </w:pPr>
      <w:r w:rsidRPr="0043024F">
        <w:rPr>
          <w:noProof/>
        </w:rPr>
        <w:drawing>
          <wp:inline distT="0" distB="0" distL="0" distR="0" wp14:anchorId="6D698935" wp14:editId="04C19DCF">
            <wp:extent cx="1524078" cy="977950"/>
            <wp:effectExtent l="0" t="0" r="0" b="0"/>
            <wp:docPr id="16022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2577" name=""/>
                    <pic:cNvPicPr/>
                  </pic:nvPicPr>
                  <pic:blipFill>
                    <a:blip r:embed="rId12"/>
                    <a:stretch>
                      <a:fillRect/>
                    </a:stretch>
                  </pic:blipFill>
                  <pic:spPr>
                    <a:xfrm>
                      <a:off x="0" y="0"/>
                      <a:ext cx="1524078" cy="977950"/>
                    </a:xfrm>
                    <a:prstGeom prst="rect">
                      <a:avLst/>
                    </a:prstGeom>
                  </pic:spPr>
                </pic:pic>
              </a:graphicData>
            </a:graphic>
          </wp:inline>
        </w:drawing>
      </w:r>
    </w:p>
    <w:p w14:paraId="7E3FC156" w14:textId="77777777" w:rsidR="006121FC" w:rsidRDefault="006121FC" w:rsidP="0043024F">
      <w:r w:rsidRPr="006121FC">
        <w:t>Our initial step involved testing for stationarity with the Dickey-Fuller test, which indicated a non-stationary series. To address this, we applied first-order differencing, which brought the p-value closer to the critical threshold, rendering the series tentatively stationary.</w:t>
      </w:r>
    </w:p>
    <w:p w14:paraId="0B8E0542" w14:textId="604CD2CC" w:rsidR="0043024F" w:rsidRDefault="0043024F" w:rsidP="0043024F">
      <w:r>
        <w:t>Perform first order differencing and check again,</w:t>
      </w:r>
    </w:p>
    <w:p w14:paraId="542A5EF4" w14:textId="24B484DB" w:rsidR="0043024F" w:rsidRDefault="0043024F" w:rsidP="006121FC">
      <w:pPr>
        <w:jc w:val="center"/>
      </w:pPr>
      <w:r w:rsidRPr="0043024F">
        <w:rPr>
          <w:noProof/>
        </w:rPr>
        <w:drawing>
          <wp:inline distT="0" distB="0" distL="0" distR="0" wp14:anchorId="3C599D9A" wp14:editId="54FFE0D4">
            <wp:extent cx="1682836" cy="990651"/>
            <wp:effectExtent l="0" t="0" r="0" b="0"/>
            <wp:docPr id="1177276778" name="Picture 1" descr="A white text with black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76778" name="Picture 1" descr="A white text with black numbers and a few black text&#10;&#10;Description automatically generated with medium confidence"/>
                    <pic:cNvPicPr/>
                  </pic:nvPicPr>
                  <pic:blipFill>
                    <a:blip r:embed="rId13"/>
                    <a:stretch>
                      <a:fillRect/>
                    </a:stretch>
                  </pic:blipFill>
                  <pic:spPr>
                    <a:xfrm>
                      <a:off x="0" y="0"/>
                      <a:ext cx="1682836" cy="990651"/>
                    </a:xfrm>
                    <a:prstGeom prst="rect">
                      <a:avLst/>
                    </a:prstGeom>
                  </pic:spPr>
                </pic:pic>
              </a:graphicData>
            </a:graphic>
          </wp:inline>
        </w:drawing>
      </w:r>
    </w:p>
    <w:p w14:paraId="625F83B9" w14:textId="7A462968" w:rsidR="0043024F" w:rsidRDefault="0043024F" w:rsidP="0043024F">
      <w:r>
        <w:t>After differencing we see the p-value to be near the critical value which is acceptable</w:t>
      </w:r>
    </w:p>
    <w:p w14:paraId="08C7CC72" w14:textId="525D86E2" w:rsidR="0043024F" w:rsidRDefault="0043024F" w:rsidP="009E368D">
      <w:pPr>
        <w:jc w:val="center"/>
      </w:pPr>
      <w:r w:rsidRPr="0043024F">
        <w:rPr>
          <w:noProof/>
        </w:rPr>
        <w:lastRenderedPageBreak/>
        <w:drawing>
          <wp:inline distT="0" distB="0" distL="0" distR="0" wp14:anchorId="690C7E84" wp14:editId="5072F0A8">
            <wp:extent cx="3986306" cy="2998056"/>
            <wp:effectExtent l="0" t="0" r="0" b="0"/>
            <wp:docPr id="4657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22748" name=""/>
                    <pic:cNvPicPr/>
                  </pic:nvPicPr>
                  <pic:blipFill>
                    <a:blip r:embed="rId14"/>
                    <a:stretch>
                      <a:fillRect/>
                    </a:stretch>
                  </pic:blipFill>
                  <pic:spPr>
                    <a:xfrm>
                      <a:off x="0" y="0"/>
                      <a:ext cx="4014589" cy="3019327"/>
                    </a:xfrm>
                    <a:prstGeom prst="rect">
                      <a:avLst/>
                    </a:prstGeom>
                  </pic:spPr>
                </pic:pic>
              </a:graphicData>
            </a:graphic>
          </wp:inline>
        </w:drawing>
      </w:r>
    </w:p>
    <w:p w14:paraId="6C1280F1" w14:textId="126524BB" w:rsidR="009E368D" w:rsidRDefault="009E368D" w:rsidP="009E368D">
      <w:pPr>
        <w:jc w:val="center"/>
      </w:pPr>
      <w:r>
        <w:t>Figure 6. First order differenced series</w:t>
      </w:r>
    </w:p>
    <w:p w14:paraId="15C0764C" w14:textId="53AB00F6" w:rsidR="0043024F" w:rsidRDefault="0043024F" w:rsidP="0043024F">
      <w:r>
        <w:t xml:space="preserve">Since we see a clear </w:t>
      </w:r>
      <w:r w:rsidR="006121FC">
        <w:t>seasonality,</w:t>
      </w:r>
      <w:r>
        <w:t xml:space="preserve"> we also perform a seasonal differencing on the data,</w:t>
      </w:r>
    </w:p>
    <w:p w14:paraId="60B052AE" w14:textId="77777777" w:rsidR="0043024F" w:rsidRPr="0043024F" w:rsidRDefault="0043024F" w:rsidP="0043024F"/>
    <w:p w14:paraId="09C773B2" w14:textId="4BAC868C" w:rsidR="00502E60" w:rsidRDefault="0043024F" w:rsidP="009E368D">
      <w:pPr>
        <w:jc w:val="center"/>
      </w:pPr>
      <w:r w:rsidRPr="0043024F">
        <w:rPr>
          <w:noProof/>
        </w:rPr>
        <w:drawing>
          <wp:inline distT="0" distB="0" distL="0" distR="0" wp14:anchorId="34B2992E" wp14:editId="42AB37E7">
            <wp:extent cx="4616687" cy="3435527"/>
            <wp:effectExtent l="0" t="0" r="0" b="0"/>
            <wp:docPr id="30635652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6525" name="Picture 1" descr="A graph with a line&#10;&#10;Description automatically generated"/>
                    <pic:cNvPicPr/>
                  </pic:nvPicPr>
                  <pic:blipFill>
                    <a:blip r:embed="rId15"/>
                    <a:stretch>
                      <a:fillRect/>
                    </a:stretch>
                  </pic:blipFill>
                  <pic:spPr>
                    <a:xfrm>
                      <a:off x="0" y="0"/>
                      <a:ext cx="4616687" cy="3435527"/>
                    </a:xfrm>
                    <a:prstGeom prst="rect">
                      <a:avLst/>
                    </a:prstGeom>
                  </pic:spPr>
                </pic:pic>
              </a:graphicData>
            </a:graphic>
          </wp:inline>
        </w:drawing>
      </w:r>
    </w:p>
    <w:p w14:paraId="7C7AD0E7" w14:textId="573ABCA6" w:rsidR="009E368D" w:rsidRDefault="009E368D" w:rsidP="009E368D">
      <w:pPr>
        <w:jc w:val="center"/>
      </w:pPr>
      <w:r>
        <w:t>Figure 7. First order seasonally differenced series</w:t>
      </w:r>
    </w:p>
    <w:p w14:paraId="4EBC9DED" w14:textId="47DE27B5" w:rsidR="0043024F" w:rsidRDefault="0043024F" w:rsidP="00502E60">
      <w:r>
        <w:t>Perform dickey fuller test on seasonally differenced data,</w:t>
      </w:r>
    </w:p>
    <w:p w14:paraId="723DFCB9" w14:textId="530162F7" w:rsidR="0043024F" w:rsidRDefault="0043024F" w:rsidP="009E368D">
      <w:pPr>
        <w:jc w:val="center"/>
      </w:pPr>
      <w:r w:rsidRPr="0043024F">
        <w:rPr>
          <w:noProof/>
        </w:rPr>
        <w:lastRenderedPageBreak/>
        <w:drawing>
          <wp:inline distT="0" distB="0" distL="0" distR="0" wp14:anchorId="773E795D" wp14:editId="32C2EA9C">
            <wp:extent cx="1530429" cy="977950"/>
            <wp:effectExtent l="0" t="0" r="0" b="0"/>
            <wp:docPr id="12913068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06832" name="Picture 1" descr="A white background with black text&#10;&#10;Description automatically generated"/>
                    <pic:cNvPicPr/>
                  </pic:nvPicPr>
                  <pic:blipFill>
                    <a:blip r:embed="rId16"/>
                    <a:stretch>
                      <a:fillRect/>
                    </a:stretch>
                  </pic:blipFill>
                  <pic:spPr>
                    <a:xfrm>
                      <a:off x="0" y="0"/>
                      <a:ext cx="1530429" cy="977950"/>
                    </a:xfrm>
                    <a:prstGeom prst="rect">
                      <a:avLst/>
                    </a:prstGeom>
                  </pic:spPr>
                </pic:pic>
              </a:graphicData>
            </a:graphic>
          </wp:inline>
        </w:drawing>
      </w:r>
    </w:p>
    <w:p w14:paraId="2C52E610" w14:textId="6EE8E94A" w:rsidR="0043024F" w:rsidRDefault="0043024F" w:rsidP="00502E60">
      <w:r w:rsidRPr="0043024F">
        <w:t>After seasonal differencing we see the p-value to be at ~0.085. This is a little above the critical value of 0.05. The test might inflate the value because of the rapid change in the series during covid period</w:t>
      </w:r>
      <w:r w:rsidR="006121FC">
        <w:t>.</w:t>
      </w:r>
    </w:p>
    <w:p w14:paraId="642FFFFB" w14:textId="65D3241C" w:rsidR="006121FC" w:rsidRDefault="006121FC" w:rsidP="00502E60">
      <w:r w:rsidRPr="006121FC">
        <w:t>Acknowledging the strong seasonal component, we further conducted seasonal differencing. Post-seasonal differencing, the Dickey-Fuller test yielded a p-value of approximately 0.085. While slightly above the conventional critical value of 0.05, this result may be attributed to the abrupt shifts during the COVID-19 period. We proceeded with additional testing, excluding data from the peak of the pandemic (prior to April 1, 2020), which provided a more stable basis for our models.</w:t>
      </w:r>
    </w:p>
    <w:p w14:paraId="677413B6" w14:textId="77777777" w:rsidR="009E368D" w:rsidRDefault="009E368D" w:rsidP="009E368D">
      <w:r>
        <w:t xml:space="preserve">Perform Dickey fuller test on the series without the covid period </w:t>
      </w:r>
      <w:r w:rsidRPr="0043024F">
        <w:t>&lt; "</w:t>
      </w:r>
      <w:proofErr w:type="gramStart"/>
      <w:r w:rsidRPr="0043024F">
        <w:t>2020-04-01"</w:t>
      </w:r>
      <w:proofErr w:type="gramEnd"/>
    </w:p>
    <w:p w14:paraId="031F6BB8" w14:textId="7D38ED3B" w:rsidR="009E368D" w:rsidRDefault="009E368D" w:rsidP="009E368D">
      <w:pPr>
        <w:jc w:val="center"/>
      </w:pPr>
      <w:r w:rsidRPr="0043024F">
        <w:rPr>
          <w:noProof/>
        </w:rPr>
        <w:drawing>
          <wp:inline distT="0" distB="0" distL="0" distR="0" wp14:anchorId="071E46F5" wp14:editId="2F94DEED">
            <wp:extent cx="1549480" cy="997001"/>
            <wp:effectExtent l="0" t="0" r="0" b="0"/>
            <wp:docPr id="1768939237" name="Picture 1" descr="A black and white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9237" name="Picture 1" descr="A black and white text with numbers&#10;&#10;Description automatically generated with medium confidence"/>
                    <pic:cNvPicPr/>
                  </pic:nvPicPr>
                  <pic:blipFill>
                    <a:blip r:embed="rId17"/>
                    <a:stretch>
                      <a:fillRect/>
                    </a:stretch>
                  </pic:blipFill>
                  <pic:spPr>
                    <a:xfrm>
                      <a:off x="0" y="0"/>
                      <a:ext cx="1549480" cy="997001"/>
                    </a:xfrm>
                    <a:prstGeom prst="rect">
                      <a:avLst/>
                    </a:prstGeom>
                  </pic:spPr>
                </pic:pic>
              </a:graphicData>
            </a:graphic>
          </wp:inline>
        </w:drawing>
      </w:r>
    </w:p>
    <w:p w14:paraId="7454DDA1" w14:textId="3599E799" w:rsidR="0043024F" w:rsidRDefault="0043024F" w:rsidP="00502E60">
      <w:r>
        <w:t>We then plot the ACF and PACF plots so that we can decide on the SARIMA model specification.</w:t>
      </w:r>
    </w:p>
    <w:p w14:paraId="2528C33D" w14:textId="1CBB2974" w:rsidR="0043024F" w:rsidRDefault="0043024F" w:rsidP="00502E60">
      <w:r w:rsidRPr="0043024F">
        <w:rPr>
          <w:noProof/>
        </w:rPr>
        <w:drawing>
          <wp:inline distT="0" distB="0" distL="0" distR="0" wp14:anchorId="5331F871" wp14:editId="5A7F15FD">
            <wp:extent cx="5943600" cy="2002155"/>
            <wp:effectExtent l="0" t="0" r="0" b="0"/>
            <wp:docPr id="2056701944"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1944" name="Picture 1" descr="A comparison of a graph&#10;&#10;Description automatically generated with medium confidence"/>
                    <pic:cNvPicPr/>
                  </pic:nvPicPr>
                  <pic:blipFill>
                    <a:blip r:embed="rId18"/>
                    <a:stretch>
                      <a:fillRect/>
                    </a:stretch>
                  </pic:blipFill>
                  <pic:spPr>
                    <a:xfrm>
                      <a:off x="0" y="0"/>
                      <a:ext cx="5943600" cy="2002155"/>
                    </a:xfrm>
                    <a:prstGeom prst="rect">
                      <a:avLst/>
                    </a:prstGeom>
                  </pic:spPr>
                </pic:pic>
              </a:graphicData>
            </a:graphic>
          </wp:inline>
        </w:drawing>
      </w:r>
    </w:p>
    <w:p w14:paraId="31DECD80" w14:textId="7F0AABF7" w:rsidR="009E368D" w:rsidRDefault="009E368D" w:rsidP="009E368D">
      <w:pPr>
        <w:jc w:val="center"/>
      </w:pPr>
      <w:r>
        <w:t>Figure 8. ACF and PACF Plots</w:t>
      </w:r>
    </w:p>
    <w:p w14:paraId="53B75A09" w14:textId="2D88C672" w:rsidR="0043024F" w:rsidRDefault="009E368D" w:rsidP="00502E60">
      <w:r w:rsidRPr="009E368D">
        <w:t xml:space="preserve">The Autocorrelation Function (ACF) and Partial Autocorrelation Function (PACF) plots were instrumental in identifying significant lags for the AR and MA components. The first lag's significance in both plots suggested the inclusion of </w:t>
      </w:r>
      <w:proofErr w:type="gramStart"/>
      <w:r w:rsidRPr="009E368D">
        <w:t>AR(</w:t>
      </w:r>
      <w:proofErr w:type="gramEnd"/>
      <w:r w:rsidRPr="009E368D">
        <w:t>1) and MA(1) components. We tested various model specifications to determine the optimal combination, guided by the lowest Akaike Information Criterion (AIC), Bayesian Information Criterion (BIC), and error metrics</w:t>
      </w:r>
      <w:r w:rsidR="0043024F">
        <w:t xml:space="preserve">. </w:t>
      </w:r>
    </w:p>
    <w:p w14:paraId="58783583" w14:textId="1D543115" w:rsidR="009E368D" w:rsidRDefault="009E368D" w:rsidP="00502E60">
      <w:r w:rsidRPr="009E368D">
        <w:t>We evaluated multiple SARIMA configurations, each yielding its own set of metrics. The following table presents a comparative analysis of these configurations:</w:t>
      </w:r>
    </w:p>
    <w:p w14:paraId="0913A2B1" w14:textId="77777777" w:rsidR="009E368D" w:rsidRDefault="009E368D" w:rsidP="00502E60"/>
    <w:tbl>
      <w:tblPr>
        <w:tblW w:w="7437" w:type="dxa"/>
        <w:jc w:val="center"/>
        <w:tblLook w:val="04A0" w:firstRow="1" w:lastRow="0" w:firstColumn="1" w:lastColumn="0" w:noHBand="0" w:noVBand="1"/>
      </w:tblPr>
      <w:tblGrid>
        <w:gridCol w:w="985"/>
        <w:gridCol w:w="1477"/>
        <w:gridCol w:w="1300"/>
        <w:gridCol w:w="1300"/>
        <w:gridCol w:w="1300"/>
        <w:gridCol w:w="1300"/>
      </w:tblGrid>
      <w:tr w:rsidR="005C5961" w:rsidRPr="005C5961" w14:paraId="34BEBB54" w14:textId="77777777" w:rsidTr="005C5961">
        <w:trPr>
          <w:trHeight w:val="290"/>
          <w:jc w:val="center"/>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853B5"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pdq</w:t>
            </w:r>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0EB030EE"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proofErr w:type="spellStart"/>
            <w:r w:rsidRPr="005C5961">
              <w:rPr>
                <w:rFonts w:ascii="Aptos Narrow" w:eastAsia="Times New Roman" w:hAnsi="Aptos Narrow" w:cs="Times New Roman"/>
                <w:b/>
                <w:bCs/>
                <w:color w:val="000000"/>
                <w:lang w:bidi="hi-IN"/>
              </w:rPr>
              <w:t>seasonal_pdq</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851DCB3"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proofErr w:type="spellStart"/>
            <w:r w:rsidRPr="005C5961">
              <w:rPr>
                <w:rFonts w:ascii="Aptos Narrow" w:eastAsia="Times New Roman" w:hAnsi="Aptos Narrow" w:cs="Times New Roman"/>
                <w:b/>
                <w:bCs/>
                <w:color w:val="000000"/>
                <w:lang w:bidi="hi-IN"/>
              </w:rPr>
              <w:t>aic</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78C8863"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proofErr w:type="spellStart"/>
            <w:r w:rsidRPr="005C5961">
              <w:rPr>
                <w:rFonts w:ascii="Aptos Narrow" w:eastAsia="Times New Roman" w:hAnsi="Aptos Narrow" w:cs="Times New Roman"/>
                <w:b/>
                <w:bCs/>
                <w:color w:val="000000"/>
                <w:lang w:bidi="hi-IN"/>
              </w:rPr>
              <w:t>bic</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558EAC7"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proofErr w:type="spellStart"/>
            <w:r w:rsidRPr="005C5961">
              <w:rPr>
                <w:rFonts w:ascii="Aptos Narrow" w:eastAsia="Times New Roman" w:hAnsi="Aptos Narrow" w:cs="Times New Roman"/>
                <w:b/>
                <w:bCs/>
                <w:color w:val="000000"/>
                <w:lang w:bidi="hi-IN"/>
              </w:rPr>
              <w:t>mae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F33793C"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proofErr w:type="spellStart"/>
            <w:r w:rsidRPr="005C5961">
              <w:rPr>
                <w:rFonts w:ascii="Aptos Narrow" w:eastAsia="Times New Roman" w:hAnsi="Aptos Narrow" w:cs="Times New Roman"/>
                <w:b/>
                <w:bCs/>
                <w:color w:val="000000"/>
                <w:lang w:bidi="hi-IN"/>
              </w:rPr>
              <w:t>rmse</w:t>
            </w:r>
            <w:proofErr w:type="spellEnd"/>
          </w:p>
        </w:tc>
      </w:tr>
      <w:tr w:rsidR="005C5961" w:rsidRPr="005C5961" w14:paraId="43648AD1"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142558C4"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(1, 1, 1)</w:t>
            </w:r>
          </w:p>
        </w:tc>
        <w:tc>
          <w:tcPr>
            <w:tcW w:w="1252" w:type="dxa"/>
            <w:tcBorders>
              <w:top w:val="nil"/>
              <w:left w:val="nil"/>
              <w:bottom w:val="single" w:sz="4" w:space="0" w:color="auto"/>
              <w:right w:val="single" w:sz="4" w:space="0" w:color="auto"/>
            </w:tcBorders>
            <w:shd w:val="clear" w:color="auto" w:fill="auto"/>
            <w:noWrap/>
            <w:vAlign w:val="bottom"/>
            <w:hideMark/>
          </w:tcPr>
          <w:p w14:paraId="77CB031C"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(0, 1, 1, 4)</w:t>
            </w:r>
          </w:p>
        </w:tc>
        <w:tc>
          <w:tcPr>
            <w:tcW w:w="1300" w:type="dxa"/>
            <w:tcBorders>
              <w:top w:val="nil"/>
              <w:left w:val="nil"/>
              <w:bottom w:val="single" w:sz="4" w:space="0" w:color="auto"/>
              <w:right w:val="single" w:sz="4" w:space="0" w:color="auto"/>
            </w:tcBorders>
            <w:shd w:val="clear" w:color="auto" w:fill="auto"/>
            <w:noWrap/>
            <w:vAlign w:val="bottom"/>
            <w:hideMark/>
          </w:tcPr>
          <w:p w14:paraId="424333F2"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301.8</w:t>
            </w:r>
          </w:p>
        </w:tc>
        <w:tc>
          <w:tcPr>
            <w:tcW w:w="1300" w:type="dxa"/>
            <w:tcBorders>
              <w:top w:val="nil"/>
              <w:left w:val="nil"/>
              <w:bottom w:val="single" w:sz="4" w:space="0" w:color="auto"/>
              <w:right w:val="single" w:sz="4" w:space="0" w:color="auto"/>
            </w:tcBorders>
            <w:shd w:val="clear" w:color="auto" w:fill="auto"/>
            <w:noWrap/>
            <w:vAlign w:val="bottom"/>
            <w:hideMark/>
          </w:tcPr>
          <w:p w14:paraId="272C9E9C"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308.1</w:t>
            </w:r>
          </w:p>
        </w:tc>
        <w:tc>
          <w:tcPr>
            <w:tcW w:w="1300" w:type="dxa"/>
            <w:tcBorders>
              <w:top w:val="nil"/>
              <w:left w:val="nil"/>
              <w:bottom w:val="single" w:sz="4" w:space="0" w:color="auto"/>
              <w:right w:val="single" w:sz="4" w:space="0" w:color="auto"/>
            </w:tcBorders>
            <w:shd w:val="clear" w:color="auto" w:fill="auto"/>
            <w:noWrap/>
            <w:vAlign w:val="bottom"/>
            <w:hideMark/>
          </w:tcPr>
          <w:p w14:paraId="75CD9C63"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29.5</w:t>
            </w:r>
          </w:p>
        </w:tc>
        <w:tc>
          <w:tcPr>
            <w:tcW w:w="1300" w:type="dxa"/>
            <w:tcBorders>
              <w:top w:val="nil"/>
              <w:left w:val="nil"/>
              <w:bottom w:val="single" w:sz="4" w:space="0" w:color="auto"/>
              <w:right w:val="single" w:sz="4" w:space="0" w:color="auto"/>
            </w:tcBorders>
            <w:shd w:val="clear" w:color="auto" w:fill="auto"/>
            <w:noWrap/>
            <w:vAlign w:val="bottom"/>
            <w:hideMark/>
          </w:tcPr>
          <w:p w14:paraId="6BF57A5F"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33.5</w:t>
            </w:r>
          </w:p>
        </w:tc>
      </w:tr>
      <w:tr w:rsidR="005C5961" w:rsidRPr="005C5961" w14:paraId="442429D2"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032E5AF5"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(1, 1, 1)</w:t>
            </w:r>
          </w:p>
        </w:tc>
        <w:tc>
          <w:tcPr>
            <w:tcW w:w="1252" w:type="dxa"/>
            <w:tcBorders>
              <w:top w:val="nil"/>
              <w:left w:val="nil"/>
              <w:bottom w:val="single" w:sz="4" w:space="0" w:color="auto"/>
              <w:right w:val="single" w:sz="4" w:space="0" w:color="auto"/>
            </w:tcBorders>
            <w:shd w:val="clear" w:color="auto" w:fill="auto"/>
            <w:noWrap/>
            <w:vAlign w:val="bottom"/>
            <w:hideMark/>
          </w:tcPr>
          <w:p w14:paraId="2464131E"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(1, 1, 0, 4)</w:t>
            </w:r>
          </w:p>
        </w:tc>
        <w:tc>
          <w:tcPr>
            <w:tcW w:w="1300" w:type="dxa"/>
            <w:tcBorders>
              <w:top w:val="nil"/>
              <w:left w:val="nil"/>
              <w:bottom w:val="single" w:sz="4" w:space="0" w:color="auto"/>
              <w:right w:val="single" w:sz="4" w:space="0" w:color="auto"/>
            </w:tcBorders>
            <w:shd w:val="clear" w:color="auto" w:fill="auto"/>
            <w:noWrap/>
            <w:vAlign w:val="bottom"/>
            <w:hideMark/>
          </w:tcPr>
          <w:p w14:paraId="2E3E1C86"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310.3</w:t>
            </w:r>
          </w:p>
        </w:tc>
        <w:tc>
          <w:tcPr>
            <w:tcW w:w="1300" w:type="dxa"/>
            <w:tcBorders>
              <w:top w:val="nil"/>
              <w:left w:val="nil"/>
              <w:bottom w:val="single" w:sz="4" w:space="0" w:color="auto"/>
              <w:right w:val="single" w:sz="4" w:space="0" w:color="auto"/>
            </w:tcBorders>
            <w:shd w:val="clear" w:color="auto" w:fill="auto"/>
            <w:noWrap/>
            <w:vAlign w:val="bottom"/>
            <w:hideMark/>
          </w:tcPr>
          <w:p w14:paraId="1FD91B1F"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316.5</w:t>
            </w:r>
          </w:p>
        </w:tc>
        <w:tc>
          <w:tcPr>
            <w:tcW w:w="1300" w:type="dxa"/>
            <w:tcBorders>
              <w:top w:val="nil"/>
              <w:left w:val="nil"/>
              <w:bottom w:val="single" w:sz="4" w:space="0" w:color="auto"/>
              <w:right w:val="single" w:sz="4" w:space="0" w:color="auto"/>
            </w:tcBorders>
            <w:shd w:val="clear" w:color="auto" w:fill="auto"/>
            <w:noWrap/>
            <w:vAlign w:val="bottom"/>
            <w:hideMark/>
          </w:tcPr>
          <w:p w14:paraId="66F230F4"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4.0</w:t>
            </w:r>
          </w:p>
        </w:tc>
        <w:tc>
          <w:tcPr>
            <w:tcW w:w="1300" w:type="dxa"/>
            <w:tcBorders>
              <w:top w:val="nil"/>
              <w:left w:val="nil"/>
              <w:bottom w:val="single" w:sz="4" w:space="0" w:color="auto"/>
              <w:right w:val="single" w:sz="4" w:space="0" w:color="auto"/>
            </w:tcBorders>
            <w:shd w:val="clear" w:color="auto" w:fill="auto"/>
            <w:noWrap/>
            <w:vAlign w:val="bottom"/>
            <w:hideMark/>
          </w:tcPr>
          <w:p w14:paraId="744CDF6C"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5.4</w:t>
            </w:r>
          </w:p>
        </w:tc>
      </w:tr>
      <w:tr w:rsidR="005C5961" w:rsidRPr="005C5961" w14:paraId="0C6E3271"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3A65333C"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(1, 1, 1)</w:t>
            </w:r>
          </w:p>
        </w:tc>
        <w:tc>
          <w:tcPr>
            <w:tcW w:w="1252" w:type="dxa"/>
            <w:tcBorders>
              <w:top w:val="nil"/>
              <w:left w:val="nil"/>
              <w:bottom w:val="single" w:sz="4" w:space="0" w:color="auto"/>
              <w:right w:val="single" w:sz="4" w:space="0" w:color="auto"/>
            </w:tcBorders>
            <w:shd w:val="clear" w:color="auto" w:fill="auto"/>
            <w:noWrap/>
            <w:vAlign w:val="bottom"/>
            <w:hideMark/>
          </w:tcPr>
          <w:p w14:paraId="576B4562"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(1, 1, 1, 4)</w:t>
            </w:r>
          </w:p>
        </w:tc>
        <w:tc>
          <w:tcPr>
            <w:tcW w:w="1300" w:type="dxa"/>
            <w:tcBorders>
              <w:top w:val="nil"/>
              <w:left w:val="nil"/>
              <w:bottom w:val="single" w:sz="4" w:space="0" w:color="auto"/>
              <w:right w:val="single" w:sz="4" w:space="0" w:color="auto"/>
            </w:tcBorders>
            <w:shd w:val="clear" w:color="auto" w:fill="auto"/>
            <w:noWrap/>
            <w:vAlign w:val="bottom"/>
            <w:hideMark/>
          </w:tcPr>
          <w:p w14:paraId="4951B078"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303.8</w:t>
            </w:r>
          </w:p>
        </w:tc>
        <w:tc>
          <w:tcPr>
            <w:tcW w:w="1300" w:type="dxa"/>
            <w:tcBorders>
              <w:top w:val="nil"/>
              <w:left w:val="nil"/>
              <w:bottom w:val="single" w:sz="4" w:space="0" w:color="auto"/>
              <w:right w:val="single" w:sz="4" w:space="0" w:color="auto"/>
            </w:tcBorders>
            <w:shd w:val="clear" w:color="auto" w:fill="auto"/>
            <w:noWrap/>
            <w:vAlign w:val="bottom"/>
            <w:hideMark/>
          </w:tcPr>
          <w:p w14:paraId="5DEBCCB3"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311.6</w:t>
            </w:r>
          </w:p>
        </w:tc>
        <w:tc>
          <w:tcPr>
            <w:tcW w:w="1300" w:type="dxa"/>
            <w:tcBorders>
              <w:top w:val="nil"/>
              <w:left w:val="nil"/>
              <w:bottom w:val="single" w:sz="4" w:space="0" w:color="auto"/>
              <w:right w:val="single" w:sz="4" w:space="0" w:color="auto"/>
            </w:tcBorders>
            <w:shd w:val="clear" w:color="auto" w:fill="auto"/>
            <w:noWrap/>
            <w:vAlign w:val="bottom"/>
            <w:hideMark/>
          </w:tcPr>
          <w:p w14:paraId="3A18D874"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29.4</w:t>
            </w:r>
          </w:p>
        </w:tc>
        <w:tc>
          <w:tcPr>
            <w:tcW w:w="1300" w:type="dxa"/>
            <w:tcBorders>
              <w:top w:val="nil"/>
              <w:left w:val="nil"/>
              <w:bottom w:val="single" w:sz="4" w:space="0" w:color="auto"/>
              <w:right w:val="single" w:sz="4" w:space="0" w:color="auto"/>
            </w:tcBorders>
            <w:shd w:val="clear" w:color="auto" w:fill="auto"/>
            <w:noWrap/>
            <w:vAlign w:val="bottom"/>
            <w:hideMark/>
          </w:tcPr>
          <w:p w14:paraId="6634A36B"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33.4</w:t>
            </w:r>
          </w:p>
        </w:tc>
      </w:tr>
      <w:tr w:rsidR="005C5961" w:rsidRPr="005C5961" w14:paraId="22BD3355"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7A91C21C"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(2, 1, 2)</w:t>
            </w:r>
          </w:p>
        </w:tc>
        <w:tc>
          <w:tcPr>
            <w:tcW w:w="1252" w:type="dxa"/>
            <w:tcBorders>
              <w:top w:val="nil"/>
              <w:left w:val="nil"/>
              <w:bottom w:val="single" w:sz="4" w:space="0" w:color="auto"/>
              <w:right w:val="single" w:sz="4" w:space="0" w:color="auto"/>
            </w:tcBorders>
            <w:shd w:val="clear" w:color="auto" w:fill="auto"/>
            <w:noWrap/>
            <w:vAlign w:val="bottom"/>
            <w:hideMark/>
          </w:tcPr>
          <w:p w14:paraId="44D09AB1"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(2, 1, 0, 4)</w:t>
            </w:r>
          </w:p>
        </w:tc>
        <w:tc>
          <w:tcPr>
            <w:tcW w:w="1300" w:type="dxa"/>
            <w:tcBorders>
              <w:top w:val="nil"/>
              <w:left w:val="nil"/>
              <w:bottom w:val="single" w:sz="4" w:space="0" w:color="auto"/>
              <w:right w:val="single" w:sz="4" w:space="0" w:color="auto"/>
            </w:tcBorders>
            <w:shd w:val="clear" w:color="auto" w:fill="auto"/>
            <w:noWrap/>
            <w:vAlign w:val="bottom"/>
            <w:hideMark/>
          </w:tcPr>
          <w:p w14:paraId="11CB4F25"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307.3</w:t>
            </w:r>
          </w:p>
        </w:tc>
        <w:tc>
          <w:tcPr>
            <w:tcW w:w="1300" w:type="dxa"/>
            <w:tcBorders>
              <w:top w:val="nil"/>
              <w:left w:val="nil"/>
              <w:bottom w:val="single" w:sz="4" w:space="0" w:color="auto"/>
              <w:right w:val="single" w:sz="4" w:space="0" w:color="auto"/>
            </w:tcBorders>
            <w:shd w:val="clear" w:color="auto" w:fill="auto"/>
            <w:noWrap/>
            <w:vAlign w:val="bottom"/>
            <w:hideMark/>
          </w:tcPr>
          <w:p w14:paraId="3FA805EC"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318.1</w:t>
            </w:r>
          </w:p>
        </w:tc>
        <w:tc>
          <w:tcPr>
            <w:tcW w:w="1300" w:type="dxa"/>
            <w:tcBorders>
              <w:top w:val="nil"/>
              <w:left w:val="nil"/>
              <w:bottom w:val="single" w:sz="4" w:space="0" w:color="auto"/>
              <w:right w:val="single" w:sz="4" w:space="0" w:color="auto"/>
            </w:tcBorders>
            <w:shd w:val="clear" w:color="auto" w:fill="auto"/>
            <w:noWrap/>
            <w:vAlign w:val="bottom"/>
            <w:hideMark/>
          </w:tcPr>
          <w:p w14:paraId="2BF81384"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24.7</w:t>
            </w:r>
          </w:p>
        </w:tc>
        <w:tc>
          <w:tcPr>
            <w:tcW w:w="1300" w:type="dxa"/>
            <w:tcBorders>
              <w:top w:val="nil"/>
              <w:left w:val="nil"/>
              <w:bottom w:val="single" w:sz="4" w:space="0" w:color="auto"/>
              <w:right w:val="single" w:sz="4" w:space="0" w:color="auto"/>
            </w:tcBorders>
            <w:shd w:val="clear" w:color="auto" w:fill="auto"/>
            <w:noWrap/>
            <w:vAlign w:val="bottom"/>
            <w:hideMark/>
          </w:tcPr>
          <w:p w14:paraId="67116E31"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35.8</w:t>
            </w:r>
          </w:p>
        </w:tc>
      </w:tr>
      <w:tr w:rsidR="005C5961" w:rsidRPr="005C5961" w14:paraId="663D69DC"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4F66FC13"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(2, 1, 2)</w:t>
            </w:r>
          </w:p>
        </w:tc>
        <w:tc>
          <w:tcPr>
            <w:tcW w:w="1252" w:type="dxa"/>
            <w:tcBorders>
              <w:top w:val="nil"/>
              <w:left w:val="nil"/>
              <w:bottom w:val="single" w:sz="4" w:space="0" w:color="auto"/>
              <w:right w:val="single" w:sz="4" w:space="0" w:color="auto"/>
            </w:tcBorders>
            <w:shd w:val="clear" w:color="auto" w:fill="auto"/>
            <w:noWrap/>
            <w:vAlign w:val="bottom"/>
            <w:hideMark/>
          </w:tcPr>
          <w:p w14:paraId="3CE14795"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(2, 1, 1, 4)</w:t>
            </w:r>
          </w:p>
        </w:tc>
        <w:tc>
          <w:tcPr>
            <w:tcW w:w="1300" w:type="dxa"/>
            <w:tcBorders>
              <w:top w:val="nil"/>
              <w:left w:val="nil"/>
              <w:bottom w:val="single" w:sz="4" w:space="0" w:color="auto"/>
              <w:right w:val="single" w:sz="4" w:space="0" w:color="auto"/>
            </w:tcBorders>
            <w:shd w:val="clear" w:color="auto" w:fill="auto"/>
            <w:noWrap/>
            <w:vAlign w:val="bottom"/>
            <w:hideMark/>
          </w:tcPr>
          <w:p w14:paraId="29840170"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307.2</w:t>
            </w:r>
          </w:p>
        </w:tc>
        <w:tc>
          <w:tcPr>
            <w:tcW w:w="1300" w:type="dxa"/>
            <w:tcBorders>
              <w:top w:val="nil"/>
              <w:left w:val="nil"/>
              <w:bottom w:val="single" w:sz="4" w:space="0" w:color="auto"/>
              <w:right w:val="single" w:sz="4" w:space="0" w:color="auto"/>
            </w:tcBorders>
            <w:shd w:val="clear" w:color="auto" w:fill="auto"/>
            <w:noWrap/>
            <w:vAlign w:val="bottom"/>
            <w:hideMark/>
          </w:tcPr>
          <w:p w14:paraId="4837E527"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319.7</w:t>
            </w:r>
          </w:p>
        </w:tc>
        <w:tc>
          <w:tcPr>
            <w:tcW w:w="1300" w:type="dxa"/>
            <w:tcBorders>
              <w:top w:val="nil"/>
              <w:left w:val="nil"/>
              <w:bottom w:val="single" w:sz="4" w:space="0" w:color="auto"/>
              <w:right w:val="single" w:sz="4" w:space="0" w:color="auto"/>
            </w:tcBorders>
            <w:shd w:val="clear" w:color="auto" w:fill="auto"/>
            <w:noWrap/>
            <w:vAlign w:val="bottom"/>
            <w:hideMark/>
          </w:tcPr>
          <w:p w14:paraId="235EDD3D"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30.4</w:t>
            </w:r>
          </w:p>
        </w:tc>
        <w:tc>
          <w:tcPr>
            <w:tcW w:w="1300" w:type="dxa"/>
            <w:tcBorders>
              <w:top w:val="nil"/>
              <w:left w:val="nil"/>
              <w:bottom w:val="single" w:sz="4" w:space="0" w:color="auto"/>
              <w:right w:val="single" w:sz="4" w:space="0" w:color="auto"/>
            </w:tcBorders>
            <w:shd w:val="clear" w:color="auto" w:fill="auto"/>
            <w:noWrap/>
            <w:vAlign w:val="bottom"/>
            <w:hideMark/>
          </w:tcPr>
          <w:p w14:paraId="095A3F5C"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38.6</w:t>
            </w:r>
          </w:p>
        </w:tc>
      </w:tr>
      <w:tr w:rsidR="005C5961" w:rsidRPr="005C5961" w14:paraId="75B5DC0B"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5D131B06"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(1, 2, 1)</w:t>
            </w:r>
          </w:p>
        </w:tc>
        <w:tc>
          <w:tcPr>
            <w:tcW w:w="1252" w:type="dxa"/>
            <w:tcBorders>
              <w:top w:val="nil"/>
              <w:left w:val="nil"/>
              <w:bottom w:val="single" w:sz="4" w:space="0" w:color="auto"/>
              <w:right w:val="single" w:sz="4" w:space="0" w:color="auto"/>
            </w:tcBorders>
            <w:shd w:val="clear" w:color="auto" w:fill="auto"/>
            <w:noWrap/>
            <w:vAlign w:val="bottom"/>
            <w:hideMark/>
          </w:tcPr>
          <w:p w14:paraId="4100A9EB"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(0, 1, 1, 4)</w:t>
            </w:r>
          </w:p>
        </w:tc>
        <w:tc>
          <w:tcPr>
            <w:tcW w:w="1300" w:type="dxa"/>
            <w:tcBorders>
              <w:top w:val="nil"/>
              <w:left w:val="nil"/>
              <w:bottom w:val="single" w:sz="4" w:space="0" w:color="auto"/>
              <w:right w:val="single" w:sz="4" w:space="0" w:color="auto"/>
            </w:tcBorders>
            <w:shd w:val="clear" w:color="auto" w:fill="auto"/>
            <w:noWrap/>
            <w:vAlign w:val="bottom"/>
            <w:hideMark/>
          </w:tcPr>
          <w:p w14:paraId="5183760F"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298.5</w:t>
            </w:r>
          </w:p>
        </w:tc>
        <w:tc>
          <w:tcPr>
            <w:tcW w:w="1300" w:type="dxa"/>
            <w:tcBorders>
              <w:top w:val="nil"/>
              <w:left w:val="nil"/>
              <w:bottom w:val="single" w:sz="4" w:space="0" w:color="auto"/>
              <w:right w:val="single" w:sz="4" w:space="0" w:color="auto"/>
            </w:tcBorders>
            <w:shd w:val="clear" w:color="auto" w:fill="auto"/>
            <w:noWrap/>
            <w:vAlign w:val="bottom"/>
            <w:hideMark/>
          </w:tcPr>
          <w:p w14:paraId="3B55078C"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304.7</w:t>
            </w:r>
          </w:p>
        </w:tc>
        <w:tc>
          <w:tcPr>
            <w:tcW w:w="1300" w:type="dxa"/>
            <w:tcBorders>
              <w:top w:val="nil"/>
              <w:left w:val="nil"/>
              <w:bottom w:val="single" w:sz="4" w:space="0" w:color="auto"/>
              <w:right w:val="single" w:sz="4" w:space="0" w:color="auto"/>
            </w:tcBorders>
            <w:shd w:val="clear" w:color="auto" w:fill="auto"/>
            <w:noWrap/>
            <w:vAlign w:val="bottom"/>
            <w:hideMark/>
          </w:tcPr>
          <w:p w14:paraId="480F677E"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11.5</w:t>
            </w:r>
          </w:p>
        </w:tc>
        <w:tc>
          <w:tcPr>
            <w:tcW w:w="1300" w:type="dxa"/>
            <w:tcBorders>
              <w:top w:val="nil"/>
              <w:left w:val="nil"/>
              <w:bottom w:val="single" w:sz="4" w:space="0" w:color="auto"/>
              <w:right w:val="single" w:sz="4" w:space="0" w:color="auto"/>
            </w:tcBorders>
            <w:shd w:val="clear" w:color="auto" w:fill="auto"/>
            <w:noWrap/>
            <w:vAlign w:val="bottom"/>
            <w:hideMark/>
          </w:tcPr>
          <w:p w14:paraId="12021A41"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14.1</w:t>
            </w:r>
          </w:p>
        </w:tc>
      </w:tr>
      <w:tr w:rsidR="005C5961" w:rsidRPr="005C5961" w14:paraId="544708ED"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5CC7872F"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(1, 2, 2)</w:t>
            </w:r>
          </w:p>
        </w:tc>
        <w:tc>
          <w:tcPr>
            <w:tcW w:w="1252" w:type="dxa"/>
            <w:tcBorders>
              <w:top w:val="nil"/>
              <w:left w:val="nil"/>
              <w:bottom w:val="single" w:sz="4" w:space="0" w:color="auto"/>
              <w:right w:val="single" w:sz="4" w:space="0" w:color="auto"/>
            </w:tcBorders>
            <w:shd w:val="clear" w:color="auto" w:fill="auto"/>
            <w:noWrap/>
            <w:vAlign w:val="bottom"/>
            <w:hideMark/>
          </w:tcPr>
          <w:p w14:paraId="6D99F335"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(0, 1, 1, 4)</w:t>
            </w:r>
          </w:p>
        </w:tc>
        <w:tc>
          <w:tcPr>
            <w:tcW w:w="1300" w:type="dxa"/>
            <w:tcBorders>
              <w:top w:val="nil"/>
              <w:left w:val="nil"/>
              <w:bottom w:val="single" w:sz="4" w:space="0" w:color="auto"/>
              <w:right w:val="single" w:sz="4" w:space="0" w:color="auto"/>
            </w:tcBorders>
            <w:shd w:val="clear" w:color="auto" w:fill="auto"/>
            <w:noWrap/>
            <w:vAlign w:val="bottom"/>
            <w:hideMark/>
          </w:tcPr>
          <w:p w14:paraId="46142FFD"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299.2</w:t>
            </w:r>
          </w:p>
        </w:tc>
        <w:tc>
          <w:tcPr>
            <w:tcW w:w="1300" w:type="dxa"/>
            <w:tcBorders>
              <w:top w:val="nil"/>
              <w:left w:val="nil"/>
              <w:bottom w:val="single" w:sz="4" w:space="0" w:color="auto"/>
              <w:right w:val="single" w:sz="4" w:space="0" w:color="auto"/>
            </w:tcBorders>
            <w:shd w:val="clear" w:color="auto" w:fill="auto"/>
            <w:noWrap/>
            <w:vAlign w:val="bottom"/>
            <w:hideMark/>
          </w:tcPr>
          <w:p w14:paraId="0F81E0F1"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306.8</w:t>
            </w:r>
          </w:p>
        </w:tc>
        <w:tc>
          <w:tcPr>
            <w:tcW w:w="1300" w:type="dxa"/>
            <w:tcBorders>
              <w:top w:val="nil"/>
              <w:left w:val="nil"/>
              <w:bottom w:val="single" w:sz="4" w:space="0" w:color="auto"/>
              <w:right w:val="single" w:sz="4" w:space="0" w:color="auto"/>
            </w:tcBorders>
            <w:shd w:val="clear" w:color="auto" w:fill="auto"/>
            <w:noWrap/>
            <w:vAlign w:val="bottom"/>
            <w:hideMark/>
          </w:tcPr>
          <w:p w14:paraId="049F43D6"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21.6</w:t>
            </w:r>
          </w:p>
        </w:tc>
        <w:tc>
          <w:tcPr>
            <w:tcW w:w="1300" w:type="dxa"/>
            <w:tcBorders>
              <w:top w:val="nil"/>
              <w:left w:val="nil"/>
              <w:bottom w:val="single" w:sz="4" w:space="0" w:color="auto"/>
              <w:right w:val="single" w:sz="4" w:space="0" w:color="auto"/>
            </w:tcBorders>
            <w:shd w:val="clear" w:color="auto" w:fill="auto"/>
            <w:noWrap/>
            <w:vAlign w:val="bottom"/>
            <w:hideMark/>
          </w:tcPr>
          <w:p w14:paraId="6CFA2AC0"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24.3</w:t>
            </w:r>
          </w:p>
        </w:tc>
      </w:tr>
      <w:tr w:rsidR="005C5961" w:rsidRPr="005C5961" w14:paraId="0D03E86D"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442E4BA2"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(1, 2, 2)</w:t>
            </w:r>
          </w:p>
        </w:tc>
        <w:tc>
          <w:tcPr>
            <w:tcW w:w="1252" w:type="dxa"/>
            <w:tcBorders>
              <w:top w:val="nil"/>
              <w:left w:val="nil"/>
              <w:bottom w:val="single" w:sz="4" w:space="0" w:color="auto"/>
              <w:right w:val="single" w:sz="4" w:space="0" w:color="auto"/>
            </w:tcBorders>
            <w:shd w:val="clear" w:color="auto" w:fill="auto"/>
            <w:noWrap/>
            <w:vAlign w:val="bottom"/>
            <w:hideMark/>
          </w:tcPr>
          <w:p w14:paraId="3F185008"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(1, 1, 1, 4)</w:t>
            </w:r>
          </w:p>
        </w:tc>
        <w:tc>
          <w:tcPr>
            <w:tcW w:w="1300" w:type="dxa"/>
            <w:tcBorders>
              <w:top w:val="nil"/>
              <w:left w:val="nil"/>
              <w:bottom w:val="single" w:sz="4" w:space="0" w:color="auto"/>
              <w:right w:val="single" w:sz="4" w:space="0" w:color="auto"/>
            </w:tcBorders>
            <w:shd w:val="clear" w:color="auto" w:fill="auto"/>
            <w:noWrap/>
            <w:vAlign w:val="bottom"/>
            <w:hideMark/>
          </w:tcPr>
          <w:p w14:paraId="22C31601"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301.2</w:t>
            </w:r>
          </w:p>
        </w:tc>
        <w:tc>
          <w:tcPr>
            <w:tcW w:w="1300" w:type="dxa"/>
            <w:tcBorders>
              <w:top w:val="nil"/>
              <w:left w:val="nil"/>
              <w:bottom w:val="single" w:sz="4" w:space="0" w:color="auto"/>
              <w:right w:val="single" w:sz="4" w:space="0" w:color="auto"/>
            </w:tcBorders>
            <w:shd w:val="clear" w:color="auto" w:fill="auto"/>
            <w:noWrap/>
            <w:vAlign w:val="bottom"/>
            <w:hideMark/>
          </w:tcPr>
          <w:p w14:paraId="312FE8B3"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310.4</w:t>
            </w:r>
          </w:p>
        </w:tc>
        <w:tc>
          <w:tcPr>
            <w:tcW w:w="1300" w:type="dxa"/>
            <w:tcBorders>
              <w:top w:val="nil"/>
              <w:left w:val="nil"/>
              <w:bottom w:val="single" w:sz="4" w:space="0" w:color="auto"/>
              <w:right w:val="single" w:sz="4" w:space="0" w:color="auto"/>
            </w:tcBorders>
            <w:shd w:val="clear" w:color="auto" w:fill="auto"/>
            <w:noWrap/>
            <w:vAlign w:val="bottom"/>
            <w:hideMark/>
          </w:tcPr>
          <w:p w14:paraId="15FEE7AF"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22.6</w:t>
            </w:r>
          </w:p>
        </w:tc>
        <w:tc>
          <w:tcPr>
            <w:tcW w:w="1300" w:type="dxa"/>
            <w:tcBorders>
              <w:top w:val="nil"/>
              <w:left w:val="nil"/>
              <w:bottom w:val="single" w:sz="4" w:space="0" w:color="auto"/>
              <w:right w:val="single" w:sz="4" w:space="0" w:color="auto"/>
            </w:tcBorders>
            <w:shd w:val="clear" w:color="auto" w:fill="auto"/>
            <w:noWrap/>
            <w:vAlign w:val="bottom"/>
            <w:hideMark/>
          </w:tcPr>
          <w:p w14:paraId="6F0AD114"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25.3</w:t>
            </w:r>
          </w:p>
        </w:tc>
      </w:tr>
      <w:tr w:rsidR="005C5961" w:rsidRPr="005C5961" w14:paraId="2C977B86"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69F85052"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(0, 2, 2)</w:t>
            </w:r>
          </w:p>
        </w:tc>
        <w:tc>
          <w:tcPr>
            <w:tcW w:w="1252" w:type="dxa"/>
            <w:tcBorders>
              <w:top w:val="nil"/>
              <w:left w:val="nil"/>
              <w:bottom w:val="single" w:sz="4" w:space="0" w:color="auto"/>
              <w:right w:val="single" w:sz="4" w:space="0" w:color="auto"/>
            </w:tcBorders>
            <w:shd w:val="clear" w:color="auto" w:fill="auto"/>
            <w:noWrap/>
            <w:vAlign w:val="bottom"/>
            <w:hideMark/>
          </w:tcPr>
          <w:p w14:paraId="762E58DD"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(0, 1, 1, 4)</w:t>
            </w:r>
          </w:p>
        </w:tc>
        <w:tc>
          <w:tcPr>
            <w:tcW w:w="1300" w:type="dxa"/>
            <w:tcBorders>
              <w:top w:val="nil"/>
              <w:left w:val="nil"/>
              <w:bottom w:val="single" w:sz="4" w:space="0" w:color="auto"/>
              <w:right w:val="single" w:sz="4" w:space="0" w:color="auto"/>
            </w:tcBorders>
            <w:shd w:val="clear" w:color="auto" w:fill="auto"/>
            <w:noWrap/>
            <w:vAlign w:val="bottom"/>
            <w:hideMark/>
          </w:tcPr>
          <w:p w14:paraId="6B1418E2"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298.5</w:t>
            </w:r>
          </w:p>
        </w:tc>
        <w:tc>
          <w:tcPr>
            <w:tcW w:w="1300" w:type="dxa"/>
            <w:tcBorders>
              <w:top w:val="nil"/>
              <w:left w:val="nil"/>
              <w:bottom w:val="single" w:sz="4" w:space="0" w:color="auto"/>
              <w:right w:val="single" w:sz="4" w:space="0" w:color="auto"/>
            </w:tcBorders>
            <w:shd w:val="clear" w:color="auto" w:fill="auto"/>
            <w:noWrap/>
            <w:vAlign w:val="bottom"/>
            <w:hideMark/>
          </w:tcPr>
          <w:p w14:paraId="7D0B8704"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304.6</w:t>
            </w:r>
          </w:p>
        </w:tc>
        <w:tc>
          <w:tcPr>
            <w:tcW w:w="1300" w:type="dxa"/>
            <w:tcBorders>
              <w:top w:val="nil"/>
              <w:left w:val="nil"/>
              <w:bottom w:val="single" w:sz="4" w:space="0" w:color="auto"/>
              <w:right w:val="single" w:sz="4" w:space="0" w:color="auto"/>
            </w:tcBorders>
            <w:shd w:val="clear" w:color="auto" w:fill="auto"/>
            <w:noWrap/>
            <w:vAlign w:val="bottom"/>
            <w:hideMark/>
          </w:tcPr>
          <w:p w14:paraId="3E479A77"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10.3</w:t>
            </w:r>
          </w:p>
        </w:tc>
        <w:tc>
          <w:tcPr>
            <w:tcW w:w="1300" w:type="dxa"/>
            <w:tcBorders>
              <w:top w:val="nil"/>
              <w:left w:val="nil"/>
              <w:bottom w:val="single" w:sz="4" w:space="0" w:color="auto"/>
              <w:right w:val="single" w:sz="4" w:space="0" w:color="auto"/>
            </w:tcBorders>
            <w:shd w:val="clear" w:color="auto" w:fill="auto"/>
            <w:noWrap/>
            <w:vAlign w:val="bottom"/>
            <w:hideMark/>
          </w:tcPr>
          <w:p w14:paraId="5BFDA45D" w14:textId="77777777" w:rsidR="005C5961" w:rsidRPr="005C5961" w:rsidRDefault="005C5961" w:rsidP="005C5961">
            <w:pPr>
              <w:spacing w:after="0" w:line="240" w:lineRule="auto"/>
              <w:jc w:val="center"/>
              <w:rPr>
                <w:rFonts w:ascii="Aptos Narrow" w:eastAsia="Times New Roman" w:hAnsi="Aptos Narrow" w:cs="Times New Roman"/>
                <w:b/>
                <w:bCs/>
                <w:color w:val="000000"/>
                <w:lang w:bidi="hi-IN"/>
              </w:rPr>
            </w:pPr>
            <w:r w:rsidRPr="005C5961">
              <w:rPr>
                <w:rFonts w:ascii="Aptos Narrow" w:eastAsia="Times New Roman" w:hAnsi="Aptos Narrow" w:cs="Times New Roman"/>
                <w:b/>
                <w:bCs/>
                <w:color w:val="000000"/>
                <w:lang w:bidi="hi-IN"/>
              </w:rPr>
              <w:t>12.6</w:t>
            </w:r>
          </w:p>
        </w:tc>
      </w:tr>
      <w:tr w:rsidR="005C5961" w:rsidRPr="005C5961" w14:paraId="28FA100E" w14:textId="77777777" w:rsidTr="005C5961">
        <w:trPr>
          <w:trHeight w:val="290"/>
          <w:jc w:val="center"/>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4A6A8132"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(2, 2, 2)</w:t>
            </w:r>
          </w:p>
        </w:tc>
        <w:tc>
          <w:tcPr>
            <w:tcW w:w="1252" w:type="dxa"/>
            <w:tcBorders>
              <w:top w:val="nil"/>
              <w:left w:val="nil"/>
              <w:bottom w:val="single" w:sz="4" w:space="0" w:color="auto"/>
              <w:right w:val="single" w:sz="4" w:space="0" w:color="auto"/>
            </w:tcBorders>
            <w:shd w:val="clear" w:color="auto" w:fill="auto"/>
            <w:noWrap/>
            <w:vAlign w:val="bottom"/>
            <w:hideMark/>
          </w:tcPr>
          <w:p w14:paraId="72EB39DF"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(0, 1, 1, 4)</w:t>
            </w:r>
          </w:p>
        </w:tc>
        <w:tc>
          <w:tcPr>
            <w:tcW w:w="1300" w:type="dxa"/>
            <w:tcBorders>
              <w:top w:val="nil"/>
              <w:left w:val="nil"/>
              <w:bottom w:val="single" w:sz="4" w:space="0" w:color="auto"/>
              <w:right w:val="single" w:sz="4" w:space="0" w:color="auto"/>
            </w:tcBorders>
            <w:shd w:val="clear" w:color="auto" w:fill="auto"/>
            <w:noWrap/>
            <w:vAlign w:val="bottom"/>
            <w:hideMark/>
          </w:tcPr>
          <w:p w14:paraId="451810A1"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300.9</w:t>
            </w:r>
          </w:p>
        </w:tc>
        <w:tc>
          <w:tcPr>
            <w:tcW w:w="1300" w:type="dxa"/>
            <w:tcBorders>
              <w:top w:val="nil"/>
              <w:left w:val="nil"/>
              <w:bottom w:val="single" w:sz="4" w:space="0" w:color="auto"/>
              <w:right w:val="single" w:sz="4" w:space="0" w:color="auto"/>
            </w:tcBorders>
            <w:shd w:val="clear" w:color="auto" w:fill="auto"/>
            <w:noWrap/>
            <w:vAlign w:val="bottom"/>
            <w:hideMark/>
          </w:tcPr>
          <w:p w14:paraId="4742CAA0"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310.1</w:t>
            </w:r>
          </w:p>
        </w:tc>
        <w:tc>
          <w:tcPr>
            <w:tcW w:w="1300" w:type="dxa"/>
            <w:tcBorders>
              <w:top w:val="nil"/>
              <w:left w:val="nil"/>
              <w:bottom w:val="single" w:sz="4" w:space="0" w:color="auto"/>
              <w:right w:val="single" w:sz="4" w:space="0" w:color="auto"/>
            </w:tcBorders>
            <w:shd w:val="clear" w:color="auto" w:fill="auto"/>
            <w:noWrap/>
            <w:vAlign w:val="bottom"/>
            <w:hideMark/>
          </w:tcPr>
          <w:p w14:paraId="686449AB"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30.4</w:t>
            </w:r>
          </w:p>
        </w:tc>
        <w:tc>
          <w:tcPr>
            <w:tcW w:w="1300" w:type="dxa"/>
            <w:tcBorders>
              <w:top w:val="nil"/>
              <w:left w:val="nil"/>
              <w:bottom w:val="single" w:sz="4" w:space="0" w:color="auto"/>
              <w:right w:val="single" w:sz="4" w:space="0" w:color="auto"/>
            </w:tcBorders>
            <w:shd w:val="clear" w:color="auto" w:fill="auto"/>
            <w:noWrap/>
            <w:vAlign w:val="bottom"/>
            <w:hideMark/>
          </w:tcPr>
          <w:p w14:paraId="6A6B1463" w14:textId="77777777" w:rsidR="005C5961" w:rsidRPr="005C5961" w:rsidRDefault="005C5961" w:rsidP="005C5961">
            <w:pPr>
              <w:spacing w:after="0" w:line="240" w:lineRule="auto"/>
              <w:jc w:val="center"/>
              <w:rPr>
                <w:rFonts w:ascii="Aptos Narrow" w:eastAsia="Times New Roman" w:hAnsi="Aptos Narrow" w:cs="Times New Roman"/>
                <w:color w:val="000000"/>
                <w:lang w:bidi="hi-IN"/>
              </w:rPr>
            </w:pPr>
            <w:r w:rsidRPr="005C5961">
              <w:rPr>
                <w:rFonts w:ascii="Aptos Narrow" w:eastAsia="Times New Roman" w:hAnsi="Aptos Narrow" w:cs="Times New Roman"/>
                <w:color w:val="000000"/>
                <w:lang w:bidi="hi-IN"/>
              </w:rPr>
              <w:t>34.3</w:t>
            </w:r>
          </w:p>
        </w:tc>
      </w:tr>
    </w:tbl>
    <w:p w14:paraId="661171D8" w14:textId="77777777" w:rsidR="002A2920" w:rsidRDefault="002A2920" w:rsidP="00D107F9">
      <w:pPr>
        <w:jc w:val="center"/>
      </w:pPr>
    </w:p>
    <w:p w14:paraId="02CF7DFF" w14:textId="0CF77830" w:rsidR="0043024F" w:rsidRDefault="00D107F9" w:rsidP="00D107F9">
      <w:pPr>
        <w:jc w:val="center"/>
      </w:pPr>
      <w:r>
        <w:t xml:space="preserve">Table 6. SARIMA forecast AIC, BIC, error metrics </w:t>
      </w:r>
      <w:r w:rsidR="002A2920">
        <w:t>comparison.</w:t>
      </w:r>
    </w:p>
    <w:p w14:paraId="27E24F28" w14:textId="34086F21" w:rsidR="00E83392" w:rsidRDefault="009E368D" w:rsidP="00502E60">
      <w:r w:rsidRPr="009E368D">
        <w:t>While some models excelled in specific metrics, a holistic view of AIC, BIC, MAE, and RMSE was necessary to select the most robust model. Upon plotting the forecasts from these models, we observed varied performance across the different specifications.</w:t>
      </w:r>
      <w:r w:rsidR="0078060E">
        <w:t xml:space="preserve"> </w:t>
      </w:r>
      <w:r w:rsidR="006A4F6F">
        <w:t>Plotting them we see,</w:t>
      </w:r>
    </w:p>
    <w:p w14:paraId="377FFE0D" w14:textId="4E36FF25" w:rsidR="006A4F6F" w:rsidRDefault="006A4F6F" w:rsidP="00502E60">
      <w:r w:rsidRPr="006A4F6F">
        <w:drawing>
          <wp:inline distT="0" distB="0" distL="0" distR="0" wp14:anchorId="2EE71206" wp14:editId="29F74752">
            <wp:extent cx="5943600" cy="3199130"/>
            <wp:effectExtent l="0" t="0" r="0" b="1270"/>
            <wp:docPr id="67791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6719" name=""/>
                    <pic:cNvPicPr/>
                  </pic:nvPicPr>
                  <pic:blipFill>
                    <a:blip r:embed="rId19"/>
                    <a:stretch>
                      <a:fillRect/>
                    </a:stretch>
                  </pic:blipFill>
                  <pic:spPr>
                    <a:xfrm>
                      <a:off x="0" y="0"/>
                      <a:ext cx="5943600" cy="3199130"/>
                    </a:xfrm>
                    <a:prstGeom prst="rect">
                      <a:avLst/>
                    </a:prstGeom>
                  </pic:spPr>
                </pic:pic>
              </a:graphicData>
            </a:graphic>
          </wp:inline>
        </w:drawing>
      </w:r>
    </w:p>
    <w:p w14:paraId="1D2DBF6B" w14:textId="624989FA" w:rsidR="009E368D" w:rsidRDefault="009E368D" w:rsidP="009E368D">
      <w:pPr>
        <w:jc w:val="center"/>
      </w:pPr>
      <w:r>
        <w:t>Figure 9. SARIMA Forecasts</w:t>
      </w:r>
    </w:p>
    <w:p w14:paraId="0DF8F81F" w14:textId="6A611BC8" w:rsidR="009E368D" w:rsidRDefault="009E368D" w:rsidP="00502E60">
      <w:r w:rsidRPr="009E368D">
        <w:t>The SARIMA model's efficacy is evidenced in its ability to adapt to the intricacies of the data, capturing the seasonal trends and adjusting for non-stationarity. The diversity in model performance underscores the necessity of a nuanced approach to selecting the appropriate model, balancing complexity against predictive accuracy.</w:t>
      </w:r>
    </w:p>
    <w:p w14:paraId="0C431936" w14:textId="6E3CCFC6" w:rsidR="005C5961" w:rsidRDefault="005C5961" w:rsidP="00E83392">
      <w:pPr>
        <w:pStyle w:val="Heading2"/>
      </w:pPr>
      <w:r>
        <w:lastRenderedPageBreak/>
        <w:t>Advanced Forecasting Techniques – SARIMAX</w:t>
      </w:r>
    </w:p>
    <w:p w14:paraId="0A92BBBF" w14:textId="59A48B48" w:rsidR="009E368D" w:rsidRPr="009E368D" w:rsidRDefault="009E368D" w:rsidP="009E368D">
      <w:r w:rsidRPr="009E368D">
        <w:t xml:space="preserve">In our quest to refine the forecasting model, we introduced the Seasonal Autoregressive Integrated Moving Average with </w:t>
      </w:r>
      <w:proofErr w:type="spellStart"/>
      <w:r w:rsidRPr="009E368D">
        <w:t>eXogenous</w:t>
      </w:r>
      <w:proofErr w:type="spellEnd"/>
      <w:r w:rsidRPr="009E368D">
        <w:t xml:space="preserve"> variables (SARIMAX) model. This model incorporates external factors—in our case, the COVID-19 pandemic—identified as significant disruptors of consumer credit card spending patterns.</w:t>
      </w:r>
    </w:p>
    <w:p w14:paraId="5984DA24" w14:textId="2DFFCD33" w:rsidR="005C5961" w:rsidRDefault="009E368D" w:rsidP="005C5961">
      <w:r w:rsidRPr="009E368D">
        <w:t>The model was augmented with a 'covid index' to represent the period between April 1, 2020, and January 1, 2021, encapsulating the timeframe when COVID-19 markedly altered consumer behavior. The inclusion of this variable aimed to quantify the pandemic's impact on the credit card balances.</w:t>
      </w:r>
      <w:r>
        <w:t xml:space="preserve"> </w:t>
      </w:r>
      <w:r w:rsidR="00DF30C3">
        <w:t>The specific range was chosen in line with the pattern disruption in the series.</w:t>
      </w:r>
    </w:p>
    <w:p w14:paraId="65F913C3" w14:textId="32192BB9" w:rsidR="009E368D" w:rsidRDefault="009E368D" w:rsidP="005C5961">
      <w:r w:rsidRPr="009E368D">
        <w:t>We explored various SARIMAX configurations, each assessed by their respective Akaike Information Criterion (AIC), Bayesian Information Criterion (BIC), Mean Absolute Error (MAE), and Root Mean Square Error (RMSE):</w:t>
      </w:r>
    </w:p>
    <w:tbl>
      <w:tblPr>
        <w:tblW w:w="5379" w:type="dxa"/>
        <w:jc w:val="center"/>
        <w:tblLook w:val="04A0" w:firstRow="1" w:lastRow="0" w:firstColumn="1" w:lastColumn="0" w:noHBand="0" w:noVBand="1"/>
      </w:tblPr>
      <w:tblGrid>
        <w:gridCol w:w="1165"/>
        <w:gridCol w:w="1477"/>
        <w:gridCol w:w="721"/>
        <w:gridCol w:w="721"/>
        <w:gridCol w:w="615"/>
        <w:gridCol w:w="680"/>
      </w:tblGrid>
      <w:tr w:rsidR="00E83392" w:rsidRPr="00E83392" w14:paraId="4FD92BFE" w14:textId="77777777" w:rsidTr="00D107F9">
        <w:trPr>
          <w:trHeight w:val="290"/>
          <w:jc w:val="center"/>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0241F"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pdq</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12366E64"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proofErr w:type="spellStart"/>
            <w:r w:rsidRPr="00E83392">
              <w:rPr>
                <w:rFonts w:ascii="Aptos Narrow" w:eastAsia="Times New Roman" w:hAnsi="Aptos Narrow" w:cs="Times New Roman"/>
                <w:b/>
                <w:bCs/>
                <w:color w:val="000000"/>
                <w:lang w:bidi="hi-IN"/>
              </w:rPr>
              <w:t>seasonal_pdq</w:t>
            </w:r>
            <w:proofErr w:type="spellEnd"/>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14:paraId="4D359D7D"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proofErr w:type="spellStart"/>
            <w:r w:rsidRPr="00E83392">
              <w:rPr>
                <w:rFonts w:ascii="Aptos Narrow" w:eastAsia="Times New Roman" w:hAnsi="Aptos Narrow" w:cs="Times New Roman"/>
                <w:b/>
                <w:bCs/>
                <w:color w:val="000000"/>
                <w:lang w:bidi="hi-IN"/>
              </w:rPr>
              <w:t>aic</w:t>
            </w:r>
            <w:proofErr w:type="spellEnd"/>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14:paraId="1CE78FDE"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proofErr w:type="spellStart"/>
            <w:r w:rsidRPr="00E83392">
              <w:rPr>
                <w:rFonts w:ascii="Aptos Narrow" w:eastAsia="Times New Roman" w:hAnsi="Aptos Narrow" w:cs="Times New Roman"/>
                <w:b/>
                <w:bCs/>
                <w:color w:val="000000"/>
                <w:lang w:bidi="hi-IN"/>
              </w:rPr>
              <w:t>bic</w:t>
            </w:r>
            <w:proofErr w:type="spellEnd"/>
          </w:p>
        </w:tc>
        <w:tc>
          <w:tcPr>
            <w:tcW w:w="615" w:type="dxa"/>
            <w:tcBorders>
              <w:top w:val="single" w:sz="4" w:space="0" w:color="auto"/>
              <w:left w:val="nil"/>
              <w:bottom w:val="single" w:sz="4" w:space="0" w:color="auto"/>
              <w:right w:val="single" w:sz="4" w:space="0" w:color="auto"/>
            </w:tcBorders>
            <w:shd w:val="clear" w:color="auto" w:fill="auto"/>
            <w:noWrap/>
            <w:vAlign w:val="bottom"/>
            <w:hideMark/>
          </w:tcPr>
          <w:p w14:paraId="7A86E7C0"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proofErr w:type="spellStart"/>
            <w:r w:rsidRPr="00E83392">
              <w:rPr>
                <w:rFonts w:ascii="Aptos Narrow" w:eastAsia="Times New Roman" w:hAnsi="Aptos Narrow" w:cs="Times New Roman"/>
                <w:b/>
                <w:bCs/>
                <w:color w:val="000000"/>
                <w:lang w:bidi="hi-IN"/>
              </w:rPr>
              <w:t>mae</w:t>
            </w:r>
            <w:proofErr w:type="spellEnd"/>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2475A21E"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proofErr w:type="spellStart"/>
            <w:r w:rsidRPr="00E83392">
              <w:rPr>
                <w:rFonts w:ascii="Aptos Narrow" w:eastAsia="Times New Roman" w:hAnsi="Aptos Narrow" w:cs="Times New Roman"/>
                <w:b/>
                <w:bCs/>
                <w:color w:val="000000"/>
                <w:lang w:bidi="hi-IN"/>
              </w:rPr>
              <w:t>rmse</w:t>
            </w:r>
            <w:proofErr w:type="spellEnd"/>
          </w:p>
        </w:tc>
      </w:tr>
      <w:tr w:rsidR="00E83392" w:rsidRPr="00E83392" w14:paraId="2D66DED5"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597999F8"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(1, 1, 1)</w:t>
            </w:r>
          </w:p>
        </w:tc>
        <w:tc>
          <w:tcPr>
            <w:tcW w:w="1477" w:type="dxa"/>
            <w:tcBorders>
              <w:top w:val="nil"/>
              <w:left w:val="nil"/>
              <w:bottom w:val="single" w:sz="4" w:space="0" w:color="auto"/>
              <w:right w:val="single" w:sz="4" w:space="0" w:color="auto"/>
            </w:tcBorders>
            <w:shd w:val="clear" w:color="auto" w:fill="auto"/>
            <w:noWrap/>
            <w:vAlign w:val="bottom"/>
            <w:hideMark/>
          </w:tcPr>
          <w:p w14:paraId="2914B21C"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(0, 1, 1, 4)</w:t>
            </w:r>
          </w:p>
        </w:tc>
        <w:tc>
          <w:tcPr>
            <w:tcW w:w="721" w:type="dxa"/>
            <w:tcBorders>
              <w:top w:val="nil"/>
              <w:left w:val="nil"/>
              <w:bottom w:val="single" w:sz="4" w:space="0" w:color="auto"/>
              <w:right w:val="single" w:sz="4" w:space="0" w:color="auto"/>
            </w:tcBorders>
            <w:shd w:val="clear" w:color="auto" w:fill="auto"/>
            <w:noWrap/>
            <w:vAlign w:val="bottom"/>
            <w:hideMark/>
          </w:tcPr>
          <w:p w14:paraId="1A01AF0C"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242.2</w:t>
            </w:r>
          </w:p>
        </w:tc>
        <w:tc>
          <w:tcPr>
            <w:tcW w:w="721" w:type="dxa"/>
            <w:tcBorders>
              <w:top w:val="nil"/>
              <w:left w:val="nil"/>
              <w:bottom w:val="single" w:sz="4" w:space="0" w:color="auto"/>
              <w:right w:val="single" w:sz="4" w:space="0" w:color="auto"/>
            </w:tcBorders>
            <w:shd w:val="clear" w:color="auto" w:fill="auto"/>
            <w:noWrap/>
            <w:vAlign w:val="bottom"/>
            <w:hideMark/>
          </w:tcPr>
          <w:p w14:paraId="4DA50ECA"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250.0</w:t>
            </w:r>
          </w:p>
        </w:tc>
        <w:tc>
          <w:tcPr>
            <w:tcW w:w="615" w:type="dxa"/>
            <w:tcBorders>
              <w:top w:val="nil"/>
              <w:left w:val="nil"/>
              <w:bottom w:val="single" w:sz="4" w:space="0" w:color="auto"/>
              <w:right w:val="single" w:sz="4" w:space="0" w:color="auto"/>
            </w:tcBorders>
            <w:shd w:val="clear" w:color="auto" w:fill="auto"/>
            <w:noWrap/>
            <w:vAlign w:val="bottom"/>
            <w:hideMark/>
          </w:tcPr>
          <w:p w14:paraId="50353466"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9.5</w:t>
            </w:r>
          </w:p>
        </w:tc>
        <w:tc>
          <w:tcPr>
            <w:tcW w:w="680" w:type="dxa"/>
            <w:tcBorders>
              <w:top w:val="nil"/>
              <w:left w:val="nil"/>
              <w:bottom w:val="single" w:sz="4" w:space="0" w:color="auto"/>
              <w:right w:val="single" w:sz="4" w:space="0" w:color="auto"/>
            </w:tcBorders>
            <w:shd w:val="clear" w:color="auto" w:fill="auto"/>
            <w:noWrap/>
            <w:vAlign w:val="bottom"/>
            <w:hideMark/>
          </w:tcPr>
          <w:p w14:paraId="2427FECE"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12.3</w:t>
            </w:r>
          </w:p>
        </w:tc>
      </w:tr>
      <w:tr w:rsidR="00E83392" w:rsidRPr="00E83392" w14:paraId="4A746047"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5E7F5B7B"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(1, 1, 1)</w:t>
            </w:r>
          </w:p>
        </w:tc>
        <w:tc>
          <w:tcPr>
            <w:tcW w:w="1477" w:type="dxa"/>
            <w:tcBorders>
              <w:top w:val="nil"/>
              <w:left w:val="nil"/>
              <w:bottom w:val="single" w:sz="4" w:space="0" w:color="auto"/>
              <w:right w:val="single" w:sz="4" w:space="0" w:color="auto"/>
            </w:tcBorders>
            <w:shd w:val="clear" w:color="auto" w:fill="auto"/>
            <w:noWrap/>
            <w:vAlign w:val="bottom"/>
            <w:hideMark/>
          </w:tcPr>
          <w:p w14:paraId="56E5702C"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(1, 1, 0, 4)</w:t>
            </w:r>
          </w:p>
        </w:tc>
        <w:tc>
          <w:tcPr>
            <w:tcW w:w="721" w:type="dxa"/>
            <w:tcBorders>
              <w:top w:val="nil"/>
              <w:left w:val="nil"/>
              <w:bottom w:val="single" w:sz="4" w:space="0" w:color="auto"/>
              <w:right w:val="single" w:sz="4" w:space="0" w:color="auto"/>
            </w:tcBorders>
            <w:shd w:val="clear" w:color="auto" w:fill="auto"/>
            <w:noWrap/>
            <w:vAlign w:val="bottom"/>
            <w:hideMark/>
          </w:tcPr>
          <w:p w14:paraId="3B0D36CE"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240.8</w:t>
            </w:r>
          </w:p>
        </w:tc>
        <w:tc>
          <w:tcPr>
            <w:tcW w:w="721" w:type="dxa"/>
            <w:tcBorders>
              <w:top w:val="nil"/>
              <w:left w:val="nil"/>
              <w:bottom w:val="single" w:sz="4" w:space="0" w:color="auto"/>
              <w:right w:val="single" w:sz="4" w:space="0" w:color="auto"/>
            </w:tcBorders>
            <w:shd w:val="clear" w:color="auto" w:fill="auto"/>
            <w:noWrap/>
            <w:vAlign w:val="bottom"/>
            <w:hideMark/>
          </w:tcPr>
          <w:p w14:paraId="04FC491E"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248.5</w:t>
            </w:r>
          </w:p>
        </w:tc>
        <w:tc>
          <w:tcPr>
            <w:tcW w:w="615" w:type="dxa"/>
            <w:tcBorders>
              <w:top w:val="nil"/>
              <w:left w:val="nil"/>
              <w:bottom w:val="single" w:sz="4" w:space="0" w:color="auto"/>
              <w:right w:val="single" w:sz="4" w:space="0" w:color="auto"/>
            </w:tcBorders>
            <w:shd w:val="clear" w:color="auto" w:fill="auto"/>
            <w:noWrap/>
            <w:vAlign w:val="bottom"/>
            <w:hideMark/>
          </w:tcPr>
          <w:p w14:paraId="5D8DB3ED"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7.2</w:t>
            </w:r>
          </w:p>
        </w:tc>
        <w:tc>
          <w:tcPr>
            <w:tcW w:w="680" w:type="dxa"/>
            <w:tcBorders>
              <w:top w:val="nil"/>
              <w:left w:val="nil"/>
              <w:bottom w:val="single" w:sz="4" w:space="0" w:color="auto"/>
              <w:right w:val="single" w:sz="4" w:space="0" w:color="auto"/>
            </w:tcBorders>
            <w:shd w:val="clear" w:color="auto" w:fill="auto"/>
            <w:noWrap/>
            <w:vAlign w:val="bottom"/>
            <w:hideMark/>
          </w:tcPr>
          <w:p w14:paraId="203C7580"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10.0</w:t>
            </w:r>
          </w:p>
        </w:tc>
      </w:tr>
      <w:tr w:rsidR="00E83392" w:rsidRPr="00E83392" w14:paraId="62C04840"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6D9E6725"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(1, 1, 1)</w:t>
            </w:r>
          </w:p>
        </w:tc>
        <w:tc>
          <w:tcPr>
            <w:tcW w:w="1477" w:type="dxa"/>
            <w:tcBorders>
              <w:top w:val="nil"/>
              <w:left w:val="nil"/>
              <w:bottom w:val="single" w:sz="4" w:space="0" w:color="auto"/>
              <w:right w:val="single" w:sz="4" w:space="0" w:color="auto"/>
            </w:tcBorders>
            <w:shd w:val="clear" w:color="auto" w:fill="auto"/>
            <w:noWrap/>
            <w:vAlign w:val="bottom"/>
            <w:hideMark/>
          </w:tcPr>
          <w:p w14:paraId="70E7F119"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(1, 1, 1, 4)</w:t>
            </w:r>
          </w:p>
        </w:tc>
        <w:tc>
          <w:tcPr>
            <w:tcW w:w="721" w:type="dxa"/>
            <w:tcBorders>
              <w:top w:val="nil"/>
              <w:left w:val="nil"/>
              <w:bottom w:val="single" w:sz="4" w:space="0" w:color="auto"/>
              <w:right w:val="single" w:sz="4" w:space="0" w:color="auto"/>
            </w:tcBorders>
            <w:shd w:val="clear" w:color="auto" w:fill="auto"/>
            <w:noWrap/>
            <w:vAlign w:val="bottom"/>
            <w:hideMark/>
          </w:tcPr>
          <w:p w14:paraId="0D193343"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242.1</w:t>
            </w:r>
          </w:p>
        </w:tc>
        <w:tc>
          <w:tcPr>
            <w:tcW w:w="721" w:type="dxa"/>
            <w:tcBorders>
              <w:top w:val="nil"/>
              <w:left w:val="nil"/>
              <w:bottom w:val="single" w:sz="4" w:space="0" w:color="auto"/>
              <w:right w:val="single" w:sz="4" w:space="0" w:color="auto"/>
            </w:tcBorders>
            <w:shd w:val="clear" w:color="auto" w:fill="auto"/>
            <w:noWrap/>
            <w:vAlign w:val="bottom"/>
            <w:hideMark/>
          </w:tcPr>
          <w:p w14:paraId="1AD04977"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251.4</w:t>
            </w:r>
          </w:p>
        </w:tc>
        <w:tc>
          <w:tcPr>
            <w:tcW w:w="615" w:type="dxa"/>
            <w:tcBorders>
              <w:top w:val="nil"/>
              <w:left w:val="nil"/>
              <w:bottom w:val="single" w:sz="4" w:space="0" w:color="auto"/>
              <w:right w:val="single" w:sz="4" w:space="0" w:color="auto"/>
            </w:tcBorders>
            <w:shd w:val="clear" w:color="auto" w:fill="auto"/>
            <w:noWrap/>
            <w:vAlign w:val="bottom"/>
            <w:hideMark/>
          </w:tcPr>
          <w:p w14:paraId="439F0F94"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8.9</w:t>
            </w:r>
          </w:p>
        </w:tc>
        <w:tc>
          <w:tcPr>
            <w:tcW w:w="680" w:type="dxa"/>
            <w:tcBorders>
              <w:top w:val="nil"/>
              <w:left w:val="nil"/>
              <w:bottom w:val="single" w:sz="4" w:space="0" w:color="auto"/>
              <w:right w:val="single" w:sz="4" w:space="0" w:color="auto"/>
            </w:tcBorders>
            <w:shd w:val="clear" w:color="auto" w:fill="auto"/>
            <w:noWrap/>
            <w:vAlign w:val="bottom"/>
            <w:hideMark/>
          </w:tcPr>
          <w:p w14:paraId="48258731"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12.6</w:t>
            </w:r>
          </w:p>
        </w:tc>
      </w:tr>
      <w:tr w:rsidR="00E83392" w:rsidRPr="00E83392" w14:paraId="0D5A7261"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05A0BD35"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(2, 1, 2)</w:t>
            </w:r>
          </w:p>
        </w:tc>
        <w:tc>
          <w:tcPr>
            <w:tcW w:w="1477" w:type="dxa"/>
            <w:tcBorders>
              <w:top w:val="nil"/>
              <w:left w:val="nil"/>
              <w:bottom w:val="single" w:sz="4" w:space="0" w:color="auto"/>
              <w:right w:val="single" w:sz="4" w:space="0" w:color="auto"/>
            </w:tcBorders>
            <w:shd w:val="clear" w:color="auto" w:fill="auto"/>
            <w:noWrap/>
            <w:vAlign w:val="bottom"/>
            <w:hideMark/>
          </w:tcPr>
          <w:p w14:paraId="02875AB2"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(2, 1, 0, 4)</w:t>
            </w:r>
          </w:p>
        </w:tc>
        <w:tc>
          <w:tcPr>
            <w:tcW w:w="721" w:type="dxa"/>
            <w:tcBorders>
              <w:top w:val="nil"/>
              <w:left w:val="nil"/>
              <w:bottom w:val="single" w:sz="4" w:space="0" w:color="auto"/>
              <w:right w:val="single" w:sz="4" w:space="0" w:color="auto"/>
            </w:tcBorders>
            <w:shd w:val="clear" w:color="auto" w:fill="auto"/>
            <w:noWrap/>
            <w:vAlign w:val="bottom"/>
            <w:hideMark/>
          </w:tcPr>
          <w:p w14:paraId="1DAF1A3C"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235.6</w:t>
            </w:r>
          </w:p>
        </w:tc>
        <w:tc>
          <w:tcPr>
            <w:tcW w:w="721" w:type="dxa"/>
            <w:tcBorders>
              <w:top w:val="nil"/>
              <w:left w:val="nil"/>
              <w:bottom w:val="single" w:sz="4" w:space="0" w:color="auto"/>
              <w:right w:val="single" w:sz="4" w:space="0" w:color="auto"/>
            </w:tcBorders>
            <w:shd w:val="clear" w:color="auto" w:fill="auto"/>
            <w:noWrap/>
            <w:vAlign w:val="bottom"/>
            <w:hideMark/>
          </w:tcPr>
          <w:p w14:paraId="618E32C9"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248.0</w:t>
            </w:r>
          </w:p>
        </w:tc>
        <w:tc>
          <w:tcPr>
            <w:tcW w:w="615" w:type="dxa"/>
            <w:tcBorders>
              <w:top w:val="nil"/>
              <w:left w:val="nil"/>
              <w:bottom w:val="single" w:sz="4" w:space="0" w:color="auto"/>
              <w:right w:val="single" w:sz="4" w:space="0" w:color="auto"/>
            </w:tcBorders>
            <w:shd w:val="clear" w:color="auto" w:fill="auto"/>
            <w:noWrap/>
            <w:vAlign w:val="bottom"/>
            <w:hideMark/>
          </w:tcPr>
          <w:p w14:paraId="273F2256"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55.1</w:t>
            </w:r>
          </w:p>
        </w:tc>
        <w:tc>
          <w:tcPr>
            <w:tcW w:w="680" w:type="dxa"/>
            <w:tcBorders>
              <w:top w:val="nil"/>
              <w:left w:val="nil"/>
              <w:bottom w:val="single" w:sz="4" w:space="0" w:color="auto"/>
              <w:right w:val="single" w:sz="4" w:space="0" w:color="auto"/>
            </w:tcBorders>
            <w:shd w:val="clear" w:color="auto" w:fill="auto"/>
            <w:noWrap/>
            <w:vAlign w:val="bottom"/>
            <w:hideMark/>
          </w:tcPr>
          <w:p w14:paraId="3C150480"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59.4</w:t>
            </w:r>
          </w:p>
        </w:tc>
      </w:tr>
      <w:tr w:rsidR="00E83392" w:rsidRPr="00E83392" w14:paraId="7A1662C4"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61E2987A"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(2, 1, 2)</w:t>
            </w:r>
          </w:p>
        </w:tc>
        <w:tc>
          <w:tcPr>
            <w:tcW w:w="1477" w:type="dxa"/>
            <w:tcBorders>
              <w:top w:val="nil"/>
              <w:left w:val="nil"/>
              <w:bottom w:val="single" w:sz="4" w:space="0" w:color="auto"/>
              <w:right w:val="single" w:sz="4" w:space="0" w:color="auto"/>
            </w:tcBorders>
            <w:shd w:val="clear" w:color="auto" w:fill="auto"/>
            <w:noWrap/>
            <w:vAlign w:val="bottom"/>
            <w:hideMark/>
          </w:tcPr>
          <w:p w14:paraId="4D0064B9"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(2, 1, 1, 4)</w:t>
            </w:r>
          </w:p>
        </w:tc>
        <w:tc>
          <w:tcPr>
            <w:tcW w:w="721" w:type="dxa"/>
            <w:tcBorders>
              <w:top w:val="nil"/>
              <w:left w:val="nil"/>
              <w:bottom w:val="single" w:sz="4" w:space="0" w:color="auto"/>
              <w:right w:val="single" w:sz="4" w:space="0" w:color="auto"/>
            </w:tcBorders>
            <w:shd w:val="clear" w:color="auto" w:fill="auto"/>
            <w:noWrap/>
            <w:vAlign w:val="bottom"/>
            <w:hideMark/>
          </w:tcPr>
          <w:p w14:paraId="2324F655"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237.6</w:t>
            </w:r>
          </w:p>
        </w:tc>
        <w:tc>
          <w:tcPr>
            <w:tcW w:w="721" w:type="dxa"/>
            <w:tcBorders>
              <w:top w:val="nil"/>
              <w:left w:val="nil"/>
              <w:bottom w:val="single" w:sz="4" w:space="0" w:color="auto"/>
              <w:right w:val="single" w:sz="4" w:space="0" w:color="auto"/>
            </w:tcBorders>
            <w:shd w:val="clear" w:color="auto" w:fill="auto"/>
            <w:noWrap/>
            <w:vAlign w:val="bottom"/>
            <w:hideMark/>
          </w:tcPr>
          <w:p w14:paraId="5C0AEEA6"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251.6</w:t>
            </w:r>
          </w:p>
        </w:tc>
        <w:tc>
          <w:tcPr>
            <w:tcW w:w="615" w:type="dxa"/>
            <w:tcBorders>
              <w:top w:val="nil"/>
              <w:left w:val="nil"/>
              <w:bottom w:val="single" w:sz="4" w:space="0" w:color="auto"/>
              <w:right w:val="single" w:sz="4" w:space="0" w:color="auto"/>
            </w:tcBorders>
            <w:shd w:val="clear" w:color="auto" w:fill="auto"/>
            <w:noWrap/>
            <w:vAlign w:val="bottom"/>
            <w:hideMark/>
          </w:tcPr>
          <w:p w14:paraId="2A7232FE"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54.4</w:t>
            </w:r>
          </w:p>
        </w:tc>
        <w:tc>
          <w:tcPr>
            <w:tcW w:w="680" w:type="dxa"/>
            <w:tcBorders>
              <w:top w:val="nil"/>
              <w:left w:val="nil"/>
              <w:bottom w:val="single" w:sz="4" w:space="0" w:color="auto"/>
              <w:right w:val="single" w:sz="4" w:space="0" w:color="auto"/>
            </w:tcBorders>
            <w:shd w:val="clear" w:color="auto" w:fill="auto"/>
            <w:noWrap/>
            <w:vAlign w:val="bottom"/>
            <w:hideMark/>
          </w:tcPr>
          <w:p w14:paraId="7A1B0832"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58.7</w:t>
            </w:r>
          </w:p>
        </w:tc>
      </w:tr>
      <w:tr w:rsidR="00E83392" w:rsidRPr="00E83392" w14:paraId="34E82BDF"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47D7FC1A"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(1, 2, 1)</w:t>
            </w:r>
          </w:p>
        </w:tc>
        <w:tc>
          <w:tcPr>
            <w:tcW w:w="1477" w:type="dxa"/>
            <w:tcBorders>
              <w:top w:val="nil"/>
              <w:left w:val="nil"/>
              <w:bottom w:val="single" w:sz="4" w:space="0" w:color="auto"/>
              <w:right w:val="single" w:sz="4" w:space="0" w:color="auto"/>
            </w:tcBorders>
            <w:shd w:val="clear" w:color="auto" w:fill="auto"/>
            <w:noWrap/>
            <w:vAlign w:val="bottom"/>
            <w:hideMark/>
          </w:tcPr>
          <w:p w14:paraId="43EF57DF"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(0, 1, 1, 4)</w:t>
            </w:r>
          </w:p>
        </w:tc>
        <w:tc>
          <w:tcPr>
            <w:tcW w:w="721" w:type="dxa"/>
            <w:tcBorders>
              <w:top w:val="nil"/>
              <w:left w:val="nil"/>
              <w:bottom w:val="single" w:sz="4" w:space="0" w:color="auto"/>
              <w:right w:val="single" w:sz="4" w:space="0" w:color="auto"/>
            </w:tcBorders>
            <w:shd w:val="clear" w:color="auto" w:fill="auto"/>
            <w:noWrap/>
            <w:vAlign w:val="bottom"/>
            <w:hideMark/>
          </w:tcPr>
          <w:p w14:paraId="500AEB77"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236.5</w:t>
            </w:r>
          </w:p>
        </w:tc>
        <w:tc>
          <w:tcPr>
            <w:tcW w:w="721" w:type="dxa"/>
            <w:tcBorders>
              <w:top w:val="nil"/>
              <w:left w:val="nil"/>
              <w:bottom w:val="single" w:sz="4" w:space="0" w:color="auto"/>
              <w:right w:val="single" w:sz="4" w:space="0" w:color="auto"/>
            </w:tcBorders>
            <w:shd w:val="clear" w:color="auto" w:fill="auto"/>
            <w:noWrap/>
            <w:vAlign w:val="bottom"/>
            <w:hideMark/>
          </w:tcPr>
          <w:p w14:paraId="4DF80BD2"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244.1</w:t>
            </w:r>
          </w:p>
        </w:tc>
        <w:tc>
          <w:tcPr>
            <w:tcW w:w="615" w:type="dxa"/>
            <w:tcBorders>
              <w:top w:val="nil"/>
              <w:left w:val="nil"/>
              <w:bottom w:val="single" w:sz="4" w:space="0" w:color="auto"/>
              <w:right w:val="single" w:sz="4" w:space="0" w:color="auto"/>
            </w:tcBorders>
            <w:shd w:val="clear" w:color="auto" w:fill="auto"/>
            <w:noWrap/>
            <w:vAlign w:val="bottom"/>
            <w:hideMark/>
          </w:tcPr>
          <w:p w14:paraId="3FEA5E17"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28.5</w:t>
            </w:r>
          </w:p>
        </w:tc>
        <w:tc>
          <w:tcPr>
            <w:tcW w:w="680" w:type="dxa"/>
            <w:tcBorders>
              <w:top w:val="nil"/>
              <w:left w:val="nil"/>
              <w:bottom w:val="single" w:sz="4" w:space="0" w:color="auto"/>
              <w:right w:val="single" w:sz="4" w:space="0" w:color="auto"/>
            </w:tcBorders>
            <w:shd w:val="clear" w:color="auto" w:fill="auto"/>
            <w:noWrap/>
            <w:vAlign w:val="bottom"/>
            <w:hideMark/>
          </w:tcPr>
          <w:p w14:paraId="1D287A4A"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36.3</w:t>
            </w:r>
          </w:p>
        </w:tc>
      </w:tr>
      <w:tr w:rsidR="00E83392" w:rsidRPr="00E83392" w14:paraId="6D6A97FA"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49E7CC53"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(1, 2, 2)</w:t>
            </w:r>
          </w:p>
        </w:tc>
        <w:tc>
          <w:tcPr>
            <w:tcW w:w="1477" w:type="dxa"/>
            <w:tcBorders>
              <w:top w:val="nil"/>
              <w:left w:val="nil"/>
              <w:bottom w:val="single" w:sz="4" w:space="0" w:color="auto"/>
              <w:right w:val="single" w:sz="4" w:space="0" w:color="auto"/>
            </w:tcBorders>
            <w:shd w:val="clear" w:color="auto" w:fill="auto"/>
            <w:noWrap/>
            <w:vAlign w:val="bottom"/>
            <w:hideMark/>
          </w:tcPr>
          <w:p w14:paraId="5C965C79"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(0, 1, 1, 4)</w:t>
            </w:r>
          </w:p>
        </w:tc>
        <w:tc>
          <w:tcPr>
            <w:tcW w:w="721" w:type="dxa"/>
            <w:tcBorders>
              <w:top w:val="nil"/>
              <w:left w:val="nil"/>
              <w:bottom w:val="single" w:sz="4" w:space="0" w:color="auto"/>
              <w:right w:val="single" w:sz="4" w:space="0" w:color="auto"/>
            </w:tcBorders>
            <w:shd w:val="clear" w:color="auto" w:fill="auto"/>
            <w:noWrap/>
            <w:vAlign w:val="bottom"/>
            <w:hideMark/>
          </w:tcPr>
          <w:p w14:paraId="0F66835F"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233.7</w:t>
            </w:r>
          </w:p>
        </w:tc>
        <w:tc>
          <w:tcPr>
            <w:tcW w:w="721" w:type="dxa"/>
            <w:tcBorders>
              <w:top w:val="nil"/>
              <w:left w:val="nil"/>
              <w:bottom w:val="single" w:sz="4" w:space="0" w:color="auto"/>
              <w:right w:val="single" w:sz="4" w:space="0" w:color="auto"/>
            </w:tcBorders>
            <w:shd w:val="clear" w:color="auto" w:fill="auto"/>
            <w:noWrap/>
            <w:vAlign w:val="bottom"/>
            <w:hideMark/>
          </w:tcPr>
          <w:p w14:paraId="6ACA9F30"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242.8</w:t>
            </w:r>
          </w:p>
        </w:tc>
        <w:tc>
          <w:tcPr>
            <w:tcW w:w="615" w:type="dxa"/>
            <w:tcBorders>
              <w:top w:val="nil"/>
              <w:left w:val="nil"/>
              <w:bottom w:val="single" w:sz="4" w:space="0" w:color="auto"/>
              <w:right w:val="single" w:sz="4" w:space="0" w:color="auto"/>
            </w:tcBorders>
            <w:shd w:val="clear" w:color="auto" w:fill="auto"/>
            <w:noWrap/>
            <w:vAlign w:val="bottom"/>
            <w:hideMark/>
          </w:tcPr>
          <w:p w14:paraId="7A49DFCE"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23.4</w:t>
            </w:r>
          </w:p>
        </w:tc>
        <w:tc>
          <w:tcPr>
            <w:tcW w:w="680" w:type="dxa"/>
            <w:tcBorders>
              <w:top w:val="nil"/>
              <w:left w:val="nil"/>
              <w:bottom w:val="single" w:sz="4" w:space="0" w:color="auto"/>
              <w:right w:val="single" w:sz="4" w:space="0" w:color="auto"/>
            </w:tcBorders>
            <w:shd w:val="clear" w:color="auto" w:fill="auto"/>
            <w:noWrap/>
            <w:vAlign w:val="bottom"/>
            <w:hideMark/>
          </w:tcPr>
          <w:p w14:paraId="7F1BED46"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30.6</w:t>
            </w:r>
          </w:p>
        </w:tc>
      </w:tr>
      <w:tr w:rsidR="00E83392" w:rsidRPr="00E83392" w14:paraId="05BFB260"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2D555446"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(1, 2, 2)</w:t>
            </w:r>
          </w:p>
        </w:tc>
        <w:tc>
          <w:tcPr>
            <w:tcW w:w="1477" w:type="dxa"/>
            <w:tcBorders>
              <w:top w:val="nil"/>
              <w:left w:val="nil"/>
              <w:bottom w:val="single" w:sz="4" w:space="0" w:color="auto"/>
              <w:right w:val="single" w:sz="4" w:space="0" w:color="auto"/>
            </w:tcBorders>
            <w:shd w:val="clear" w:color="auto" w:fill="auto"/>
            <w:noWrap/>
            <w:vAlign w:val="bottom"/>
            <w:hideMark/>
          </w:tcPr>
          <w:p w14:paraId="3D8EBE0C"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(1, 1, 1, 4)</w:t>
            </w:r>
          </w:p>
        </w:tc>
        <w:tc>
          <w:tcPr>
            <w:tcW w:w="721" w:type="dxa"/>
            <w:tcBorders>
              <w:top w:val="nil"/>
              <w:left w:val="nil"/>
              <w:bottom w:val="single" w:sz="4" w:space="0" w:color="auto"/>
              <w:right w:val="single" w:sz="4" w:space="0" w:color="auto"/>
            </w:tcBorders>
            <w:shd w:val="clear" w:color="auto" w:fill="auto"/>
            <w:noWrap/>
            <w:vAlign w:val="bottom"/>
            <w:hideMark/>
          </w:tcPr>
          <w:p w14:paraId="281DAA2D"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232.2</w:t>
            </w:r>
          </w:p>
        </w:tc>
        <w:tc>
          <w:tcPr>
            <w:tcW w:w="721" w:type="dxa"/>
            <w:tcBorders>
              <w:top w:val="nil"/>
              <w:left w:val="nil"/>
              <w:bottom w:val="single" w:sz="4" w:space="0" w:color="auto"/>
              <w:right w:val="single" w:sz="4" w:space="0" w:color="auto"/>
            </w:tcBorders>
            <w:shd w:val="clear" w:color="auto" w:fill="auto"/>
            <w:noWrap/>
            <w:vAlign w:val="bottom"/>
            <w:hideMark/>
          </w:tcPr>
          <w:p w14:paraId="151655B2"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242.9</w:t>
            </w:r>
          </w:p>
        </w:tc>
        <w:tc>
          <w:tcPr>
            <w:tcW w:w="615" w:type="dxa"/>
            <w:tcBorders>
              <w:top w:val="nil"/>
              <w:left w:val="nil"/>
              <w:bottom w:val="single" w:sz="4" w:space="0" w:color="auto"/>
              <w:right w:val="single" w:sz="4" w:space="0" w:color="auto"/>
            </w:tcBorders>
            <w:shd w:val="clear" w:color="auto" w:fill="auto"/>
            <w:noWrap/>
            <w:vAlign w:val="bottom"/>
            <w:hideMark/>
          </w:tcPr>
          <w:p w14:paraId="14E23CDF"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21.7</w:t>
            </w:r>
          </w:p>
        </w:tc>
        <w:tc>
          <w:tcPr>
            <w:tcW w:w="680" w:type="dxa"/>
            <w:tcBorders>
              <w:top w:val="nil"/>
              <w:left w:val="nil"/>
              <w:bottom w:val="single" w:sz="4" w:space="0" w:color="auto"/>
              <w:right w:val="single" w:sz="4" w:space="0" w:color="auto"/>
            </w:tcBorders>
            <w:shd w:val="clear" w:color="auto" w:fill="auto"/>
            <w:noWrap/>
            <w:vAlign w:val="bottom"/>
            <w:hideMark/>
          </w:tcPr>
          <w:p w14:paraId="4645FB1F"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29.5</w:t>
            </w:r>
          </w:p>
        </w:tc>
      </w:tr>
      <w:tr w:rsidR="00E83392" w:rsidRPr="00E83392" w14:paraId="66E0FC28"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262AC5BF"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(0, 2, 2)</w:t>
            </w:r>
          </w:p>
        </w:tc>
        <w:tc>
          <w:tcPr>
            <w:tcW w:w="1477" w:type="dxa"/>
            <w:tcBorders>
              <w:top w:val="nil"/>
              <w:left w:val="nil"/>
              <w:bottom w:val="single" w:sz="4" w:space="0" w:color="auto"/>
              <w:right w:val="single" w:sz="4" w:space="0" w:color="auto"/>
            </w:tcBorders>
            <w:shd w:val="clear" w:color="auto" w:fill="auto"/>
            <w:noWrap/>
            <w:vAlign w:val="bottom"/>
            <w:hideMark/>
          </w:tcPr>
          <w:p w14:paraId="51F1050E"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(0, 1, 1, 4)</w:t>
            </w:r>
          </w:p>
        </w:tc>
        <w:tc>
          <w:tcPr>
            <w:tcW w:w="721" w:type="dxa"/>
            <w:tcBorders>
              <w:top w:val="nil"/>
              <w:left w:val="nil"/>
              <w:bottom w:val="single" w:sz="4" w:space="0" w:color="auto"/>
              <w:right w:val="single" w:sz="4" w:space="0" w:color="auto"/>
            </w:tcBorders>
            <w:shd w:val="clear" w:color="auto" w:fill="auto"/>
            <w:noWrap/>
            <w:vAlign w:val="bottom"/>
            <w:hideMark/>
          </w:tcPr>
          <w:p w14:paraId="265BCDAB"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232.7</w:t>
            </w:r>
          </w:p>
        </w:tc>
        <w:tc>
          <w:tcPr>
            <w:tcW w:w="721" w:type="dxa"/>
            <w:tcBorders>
              <w:top w:val="nil"/>
              <w:left w:val="nil"/>
              <w:bottom w:val="single" w:sz="4" w:space="0" w:color="auto"/>
              <w:right w:val="single" w:sz="4" w:space="0" w:color="auto"/>
            </w:tcBorders>
            <w:shd w:val="clear" w:color="auto" w:fill="auto"/>
            <w:noWrap/>
            <w:vAlign w:val="bottom"/>
            <w:hideMark/>
          </w:tcPr>
          <w:p w14:paraId="2AEDDBF5"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240.4</w:t>
            </w:r>
          </w:p>
        </w:tc>
        <w:tc>
          <w:tcPr>
            <w:tcW w:w="615" w:type="dxa"/>
            <w:tcBorders>
              <w:top w:val="nil"/>
              <w:left w:val="nil"/>
              <w:bottom w:val="single" w:sz="4" w:space="0" w:color="auto"/>
              <w:right w:val="single" w:sz="4" w:space="0" w:color="auto"/>
            </w:tcBorders>
            <w:shd w:val="clear" w:color="auto" w:fill="auto"/>
            <w:noWrap/>
            <w:vAlign w:val="bottom"/>
            <w:hideMark/>
          </w:tcPr>
          <w:p w14:paraId="021C20BF"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25.8</w:t>
            </w:r>
          </w:p>
        </w:tc>
        <w:tc>
          <w:tcPr>
            <w:tcW w:w="680" w:type="dxa"/>
            <w:tcBorders>
              <w:top w:val="nil"/>
              <w:left w:val="nil"/>
              <w:bottom w:val="single" w:sz="4" w:space="0" w:color="auto"/>
              <w:right w:val="single" w:sz="4" w:space="0" w:color="auto"/>
            </w:tcBorders>
            <w:shd w:val="clear" w:color="auto" w:fill="auto"/>
            <w:noWrap/>
            <w:vAlign w:val="bottom"/>
            <w:hideMark/>
          </w:tcPr>
          <w:p w14:paraId="0C20F198" w14:textId="77777777" w:rsidR="00E83392" w:rsidRPr="00E83392" w:rsidRDefault="00E83392" w:rsidP="00E83392">
            <w:pPr>
              <w:spacing w:after="0" w:line="240" w:lineRule="auto"/>
              <w:jc w:val="center"/>
              <w:rPr>
                <w:rFonts w:ascii="Aptos Narrow" w:eastAsia="Times New Roman" w:hAnsi="Aptos Narrow" w:cs="Times New Roman"/>
                <w:b/>
                <w:bCs/>
                <w:color w:val="000000"/>
                <w:lang w:bidi="hi-IN"/>
              </w:rPr>
            </w:pPr>
            <w:r w:rsidRPr="00E83392">
              <w:rPr>
                <w:rFonts w:ascii="Aptos Narrow" w:eastAsia="Times New Roman" w:hAnsi="Aptos Narrow" w:cs="Times New Roman"/>
                <w:b/>
                <w:bCs/>
                <w:color w:val="000000"/>
                <w:lang w:bidi="hi-IN"/>
              </w:rPr>
              <w:t>33.4</w:t>
            </w:r>
          </w:p>
        </w:tc>
      </w:tr>
      <w:tr w:rsidR="00E83392" w:rsidRPr="00E83392" w14:paraId="3EB13529" w14:textId="77777777" w:rsidTr="00D107F9">
        <w:trPr>
          <w:trHeight w:val="29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6036743E"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(2, 2, 2)</w:t>
            </w:r>
          </w:p>
        </w:tc>
        <w:tc>
          <w:tcPr>
            <w:tcW w:w="1477" w:type="dxa"/>
            <w:tcBorders>
              <w:top w:val="nil"/>
              <w:left w:val="nil"/>
              <w:bottom w:val="single" w:sz="4" w:space="0" w:color="auto"/>
              <w:right w:val="single" w:sz="4" w:space="0" w:color="auto"/>
            </w:tcBorders>
            <w:shd w:val="clear" w:color="auto" w:fill="auto"/>
            <w:noWrap/>
            <w:vAlign w:val="bottom"/>
            <w:hideMark/>
          </w:tcPr>
          <w:p w14:paraId="24166AC2"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(0, 1, 1, 4)</w:t>
            </w:r>
          </w:p>
        </w:tc>
        <w:tc>
          <w:tcPr>
            <w:tcW w:w="721" w:type="dxa"/>
            <w:tcBorders>
              <w:top w:val="nil"/>
              <w:left w:val="nil"/>
              <w:bottom w:val="single" w:sz="4" w:space="0" w:color="auto"/>
              <w:right w:val="single" w:sz="4" w:space="0" w:color="auto"/>
            </w:tcBorders>
            <w:shd w:val="clear" w:color="auto" w:fill="auto"/>
            <w:noWrap/>
            <w:vAlign w:val="bottom"/>
            <w:hideMark/>
          </w:tcPr>
          <w:p w14:paraId="0B0A4E1A"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235.0</w:t>
            </w:r>
          </w:p>
        </w:tc>
        <w:tc>
          <w:tcPr>
            <w:tcW w:w="721" w:type="dxa"/>
            <w:tcBorders>
              <w:top w:val="nil"/>
              <w:left w:val="nil"/>
              <w:bottom w:val="single" w:sz="4" w:space="0" w:color="auto"/>
              <w:right w:val="single" w:sz="4" w:space="0" w:color="auto"/>
            </w:tcBorders>
            <w:shd w:val="clear" w:color="auto" w:fill="auto"/>
            <w:noWrap/>
            <w:vAlign w:val="bottom"/>
            <w:hideMark/>
          </w:tcPr>
          <w:p w14:paraId="2562E2B6"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245.6</w:t>
            </w:r>
          </w:p>
        </w:tc>
        <w:tc>
          <w:tcPr>
            <w:tcW w:w="615" w:type="dxa"/>
            <w:tcBorders>
              <w:top w:val="nil"/>
              <w:left w:val="nil"/>
              <w:bottom w:val="single" w:sz="4" w:space="0" w:color="auto"/>
              <w:right w:val="single" w:sz="4" w:space="0" w:color="auto"/>
            </w:tcBorders>
            <w:shd w:val="clear" w:color="auto" w:fill="auto"/>
            <w:noWrap/>
            <w:vAlign w:val="bottom"/>
            <w:hideMark/>
          </w:tcPr>
          <w:p w14:paraId="5DA01A7C"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19.2</w:t>
            </w:r>
          </w:p>
        </w:tc>
        <w:tc>
          <w:tcPr>
            <w:tcW w:w="680" w:type="dxa"/>
            <w:tcBorders>
              <w:top w:val="nil"/>
              <w:left w:val="nil"/>
              <w:bottom w:val="single" w:sz="4" w:space="0" w:color="auto"/>
              <w:right w:val="single" w:sz="4" w:space="0" w:color="auto"/>
            </w:tcBorders>
            <w:shd w:val="clear" w:color="auto" w:fill="auto"/>
            <w:noWrap/>
            <w:vAlign w:val="bottom"/>
            <w:hideMark/>
          </w:tcPr>
          <w:p w14:paraId="6224F3FE" w14:textId="77777777" w:rsidR="00E83392" w:rsidRPr="00E83392" w:rsidRDefault="00E83392" w:rsidP="00E83392">
            <w:pPr>
              <w:spacing w:after="0" w:line="240" w:lineRule="auto"/>
              <w:jc w:val="center"/>
              <w:rPr>
                <w:rFonts w:ascii="Aptos Narrow" w:eastAsia="Times New Roman" w:hAnsi="Aptos Narrow" w:cs="Times New Roman"/>
                <w:color w:val="000000"/>
                <w:lang w:bidi="hi-IN"/>
              </w:rPr>
            </w:pPr>
            <w:r w:rsidRPr="00E83392">
              <w:rPr>
                <w:rFonts w:ascii="Aptos Narrow" w:eastAsia="Times New Roman" w:hAnsi="Aptos Narrow" w:cs="Times New Roman"/>
                <w:color w:val="000000"/>
                <w:lang w:bidi="hi-IN"/>
              </w:rPr>
              <w:t>26.7</w:t>
            </w:r>
          </w:p>
        </w:tc>
      </w:tr>
    </w:tbl>
    <w:p w14:paraId="00E0F60C" w14:textId="77777777" w:rsidR="002A2920" w:rsidRDefault="002A2920" w:rsidP="00D107F9">
      <w:pPr>
        <w:jc w:val="center"/>
      </w:pPr>
    </w:p>
    <w:p w14:paraId="675CE9DF" w14:textId="6A05F04F" w:rsidR="00232EE8" w:rsidRDefault="00D107F9" w:rsidP="00D107F9">
      <w:pPr>
        <w:jc w:val="center"/>
      </w:pPr>
      <w:r>
        <w:t xml:space="preserve">Table </w:t>
      </w:r>
      <w:r>
        <w:t>7</w:t>
      </w:r>
      <w:r>
        <w:t xml:space="preserve">. SARIMA forecast AIC, BIC, error metrics </w:t>
      </w:r>
      <w:proofErr w:type="gramStart"/>
      <w:r>
        <w:t>comparison</w:t>
      </w:r>
      <w:proofErr w:type="gramEnd"/>
    </w:p>
    <w:p w14:paraId="11FFC2A3" w14:textId="483540D0" w:rsidR="009E368D" w:rsidRDefault="009E368D" w:rsidP="009E368D">
      <w:r w:rsidRPr="009E368D">
        <w:t>The assessment of various SARIMAX models revealed that certain specifications outperformed others in specific metrics. For instance, some configurations demonstrated lower AIC and BIC values, while others excelled in minimizing forecast errors, MAE, and RMSE. These metrics informed the selection of the most appropriate model for our data.</w:t>
      </w:r>
    </w:p>
    <w:p w14:paraId="4FF4E165" w14:textId="77777777" w:rsidR="00D107F9" w:rsidRDefault="009E368D" w:rsidP="00D107F9">
      <w:r w:rsidRPr="009E368D">
        <w:t>The significance of the covid index was evaluated to ascertain its contribution to the model. The variable exhibited a p-value indicating strong statistical significance, confirming its role as a meaningful predictor</w:t>
      </w:r>
      <w:r w:rsidR="00D107F9">
        <w:t xml:space="preserve"> </w:t>
      </w:r>
      <w:r w:rsidRPr="009E368D">
        <w:t>within the specified timeframe.</w:t>
      </w:r>
    </w:p>
    <w:p w14:paraId="22649AA1" w14:textId="0A5091C5" w:rsidR="00E83392" w:rsidRDefault="00E83392" w:rsidP="008F50FA">
      <w:pPr>
        <w:jc w:val="center"/>
      </w:pPr>
      <w:r w:rsidRPr="00E83392">
        <w:lastRenderedPageBreak/>
        <w:drawing>
          <wp:inline distT="0" distB="0" distL="0" distR="0" wp14:anchorId="42C25018" wp14:editId="33877273">
            <wp:extent cx="5512083" cy="3695890"/>
            <wp:effectExtent l="0" t="0" r="0" b="0"/>
            <wp:docPr id="31668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5668" name=""/>
                    <pic:cNvPicPr/>
                  </pic:nvPicPr>
                  <pic:blipFill>
                    <a:blip r:embed="rId20"/>
                    <a:stretch>
                      <a:fillRect/>
                    </a:stretch>
                  </pic:blipFill>
                  <pic:spPr>
                    <a:xfrm>
                      <a:off x="0" y="0"/>
                      <a:ext cx="5512083" cy="3695890"/>
                    </a:xfrm>
                    <a:prstGeom prst="rect">
                      <a:avLst/>
                    </a:prstGeom>
                  </pic:spPr>
                </pic:pic>
              </a:graphicData>
            </a:graphic>
          </wp:inline>
        </w:drawing>
      </w:r>
    </w:p>
    <w:p w14:paraId="6D2BB3A8" w14:textId="12816098" w:rsidR="00E83392" w:rsidRDefault="00E83392" w:rsidP="00E83392">
      <w:r>
        <w:t>From the p-value of the covid index we can conclude the newly added variable is statistically significant and is a useful predictor.</w:t>
      </w:r>
    </w:p>
    <w:p w14:paraId="5B9C1AFD" w14:textId="5DFD6DB1" w:rsidR="00F15929" w:rsidRDefault="00F15929" w:rsidP="00F15929">
      <w:r>
        <w:t>Based on the metrics such as AIC, BIC, MAE and RMSE we see multiple SARIMA</w:t>
      </w:r>
      <w:r>
        <w:t>X</w:t>
      </w:r>
      <w:r>
        <w:t xml:space="preserve"> specifications to perform best in </w:t>
      </w:r>
      <w:r>
        <w:t>at least</w:t>
      </w:r>
      <w:r>
        <w:t xml:space="preserve"> one of the metrics. Plotting them we see,</w:t>
      </w:r>
    </w:p>
    <w:p w14:paraId="0A7AFB96" w14:textId="65CE9EA8" w:rsidR="00F15929" w:rsidRDefault="00D73548" w:rsidP="008F50FA">
      <w:pPr>
        <w:jc w:val="center"/>
      </w:pPr>
      <w:r w:rsidRPr="00D73548">
        <w:drawing>
          <wp:inline distT="0" distB="0" distL="0" distR="0" wp14:anchorId="42A97603" wp14:editId="4C1B4389">
            <wp:extent cx="5582024" cy="3041487"/>
            <wp:effectExtent l="0" t="0" r="0" b="6985"/>
            <wp:docPr id="37625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9418" name=""/>
                    <pic:cNvPicPr/>
                  </pic:nvPicPr>
                  <pic:blipFill>
                    <a:blip r:embed="rId21"/>
                    <a:stretch>
                      <a:fillRect/>
                    </a:stretch>
                  </pic:blipFill>
                  <pic:spPr>
                    <a:xfrm>
                      <a:off x="0" y="0"/>
                      <a:ext cx="5585596" cy="3043433"/>
                    </a:xfrm>
                    <a:prstGeom prst="rect">
                      <a:avLst/>
                    </a:prstGeom>
                  </pic:spPr>
                </pic:pic>
              </a:graphicData>
            </a:graphic>
          </wp:inline>
        </w:drawing>
      </w:r>
    </w:p>
    <w:p w14:paraId="23E386E7" w14:textId="38104C30" w:rsidR="009E368D" w:rsidRDefault="009E368D" w:rsidP="009E368D">
      <w:pPr>
        <w:jc w:val="center"/>
      </w:pPr>
      <w:r>
        <w:t>Figure 10. SARIMAX Forecasts</w:t>
      </w:r>
    </w:p>
    <w:p w14:paraId="461244A4" w14:textId="00CE719E" w:rsidR="009E368D" w:rsidRDefault="009E368D" w:rsidP="009E368D">
      <w:r w:rsidRPr="009E368D">
        <w:lastRenderedPageBreak/>
        <w:t>The integration of the covid index into the SARIMAX model provided valuable insights, allowing us to accommodate the anomalous effects of the pandemic on consumer spending. This advanced technique enhanced our forecasting capability, ensuring that the model remained robust and relevant in the face of unprecedented external shocks.</w:t>
      </w:r>
    </w:p>
    <w:p w14:paraId="45DEBD12" w14:textId="3E044D32" w:rsidR="00D73548" w:rsidRDefault="00D73548" w:rsidP="00D73548">
      <w:pPr>
        <w:pStyle w:val="Heading2"/>
      </w:pPr>
      <w:r>
        <w:t>Conclusion</w:t>
      </w:r>
    </w:p>
    <w:p w14:paraId="4B4F93E5" w14:textId="3DAA5EB5" w:rsidR="009E368D" w:rsidRDefault="009E368D" w:rsidP="009E368D">
      <w:r>
        <w:t>Through rigorous testing and refinement of forecasting methods, we have determined that the Holt-Winters method excels in predictive accuracy as evidenced by its superior performance across AIC, BIC, and error metrics during the specified testing period. However, the applicability of a forecasting method extends beyond numerical metrics; it encompasses the method’s ability to adapt to the data’s inherent patterns and external influences.</w:t>
      </w:r>
    </w:p>
    <w:p w14:paraId="0B461B0E" w14:textId="2197CD64" w:rsidR="009E368D" w:rsidRDefault="009E368D" w:rsidP="009E368D">
      <w:r>
        <w:t xml:space="preserve">Our exploration of SARIMA and SARIMAX models has revealed that both exhibit commendable forecasting prowess. These methods, grounded in a thorough understanding of the data’s seasonal behavior and non-stationarity, have shown a strong alignment with observed values, as illustrated by our error </w:t>
      </w:r>
      <w:r w:rsidR="00EB379F">
        <w:t>metrics,</w:t>
      </w:r>
      <w:r>
        <w:t xml:space="preserve"> and corroborated by visual inspection of the forecasts.</w:t>
      </w:r>
    </w:p>
    <w:p w14:paraId="616EA45F" w14:textId="4C221C2F" w:rsidR="009E368D" w:rsidRDefault="009E368D" w:rsidP="009E368D">
      <w:r>
        <w:t>In particular, the SARIMAX model, with its integration of the covid index, adeptly captures the nuances introduced by the pandemic, a testament to its capability to assimilate significant exogenous variables. This model’s adaptability in tracing both trend and seasonality, while factoring in the extraordinary circumstances posed by the pandemic, demonstrates its robustness and potential utility in predictive analytics within the banking sector.</w:t>
      </w:r>
    </w:p>
    <w:p w14:paraId="08977D4A" w14:textId="5D958527" w:rsidR="009E368D" w:rsidRDefault="009E368D" w:rsidP="009E368D">
      <w:r>
        <w:t>It is important to acknowledge the temporal boundary of our tests. Forecasting is inherently an extrapolation of past behavior into the future, and while our models have been validated against recent data, their long-term efficacy would benefit from continuous evaluation against emerging trends and economic conditions.</w:t>
      </w:r>
    </w:p>
    <w:p w14:paraId="630B2952" w14:textId="77777777" w:rsidR="009E368D" w:rsidRDefault="009E368D" w:rsidP="009E368D">
      <w:r>
        <w:t>In conclusion, while the Holt-Winters method stands out based on selected metrics, the advanced SARIMA and SARIMAX models offer a nuanced understanding of complex behaviors and external disruptions, such as those encountered during the COVID-19 pandemic. The choice of model thus hinges on the specific forecasting objectives, the nature of the data, and the contextual relevance of external factors. As the financial industry continues to evolve amidst a landscape shaped by unforeseen events, our approach underscores the importance of flexible, responsive, and comprehensive modeling techniques in strategic decision-making and risk assessment.</w:t>
      </w:r>
    </w:p>
    <w:p w14:paraId="76C3D1F4" w14:textId="449A0052" w:rsidR="006C2FEB" w:rsidRDefault="006C2FEB" w:rsidP="009E368D">
      <w:pPr>
        <w:pStyle w:val="Heading2"/>
      </w:pPr>
      <w:r>
        <w:t>Refe</w:t>
      </w:r>
      <w:r w:rsidR="00E86013">
        <w:t>re</w:t>
      </w:r>
      <w:r>
        <w:t>nces</w:t>
      </w:r>
    </w:p>
    <w:p w14:paraId="13D08AF8" w14:textId="05FFEAAB" w:rsidR="006C2FEB" w:rsidRDefault="00000000" w:rsidP="006C2FEB">
      <w:pPr>
        <w:pStyle w:val="ListParagraph"/>
        <w:numPr>
          <w:ilvl w:val="0"/>
          <w:numId w:val="1"/>
        </w:numPr>
      </w:pPr>
      <w:hyperlink r:id="rId22" w:history="1">
        <w:r w:rsidR="006C2FEB" w:rsidRPr="0076626D">
          <w:rPr>
            <w:rStyle w:val="Hyperlink"/>
          </w:rPr>
          <w:t>https://www.cnbc.com/2023/08/10/average-consumer-carries-5947-in-credit-card-debt-a-10-year-high.html</w:t>
        </w:r>
      </w:hyperlink>
    </w:p>
    <w:p w14:paraId="0F2E9C88" w14:textId="405186FA" w:rsidR="006C2FEB" w:rsidRDefault="00000000" w:rsidP="00866C90">
      <w:pPr>
        <w:pStyle w:val="ListParagraph"/>
        <w:numPr>
          <w:ilvl w:val="0"/>
          <w:numId w:val="1"/>
        </w:numPr>
      </w:pPr>
      <w:hyperlink r:id="rId23" w:history="1">
        <w:r w:rsidR="006C2FEB" w:rsidRPr="0076626D">
          <w:rPr>
            <w:rStyle w:val="Hyperlink"/>
          </w:rPr>
          <w:t>https://www.consumerfinance.gov/about-us/newsroom/cfpb-report-finds-credit-card-companies-charged-consumers-record-high-130-billion-in-interest-and-fees-in-2022/</w:t>
        </w:r>
      </w:hyperlink>
    </w:p>
    <w:p w14:paraId="25D323FD" w14:textId="77777777" w:rsidR="006C2FEB" w:rsidRDefault="006C2FEB" w:rsidP="006C2FEB">
      <w:pPr>
        <w:pStyle w:val="ListParagraph"/>
      </w:pPr>
    </w:p>
    <w:sectPr w:rsidR="006C2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BAD"/>
    <w:multiLevelType w:val="hybridMultilevel"/>
    <w:tmpl w:val="80DE4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6137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F7"/>
    <w:rsid w:val="000D49F6"/>
    <w:rsid w:val="000F595E"/>
    <w:rsid w:val="0012571F"/>
    <w:rsid w:val="00232EE8"/>
    <w:rsid w:val="002372F3"/>
    <w:rsid w:val="002A2920"/>
    <w:rsid w:val="002C4F4A"/>
    <w:rsid w:val="002E3CCD"/>
    <w:rsid w:val="003326BD"/>
    <w:rsid w:val="00424514"/>
    <w:rsid w:val="0043024F"/>
    <w:rsid w:val="00502E60"/>
    <w:rsid w:val="005C5961"/>
    <w:rsid w:val="006121FC"/>
    <w:rsid w:val="006A048F"/>
    <w:rsid w:val="006A3D65"/>
    <w:rsid w:val="006A4F6F"/>
    <w:rsid w:val="006C090E"/>
    <w:rsid w:val="006C2FEB"/>
    <w:rsid w:val="006C5B2E"/>
    <w:rsid w:val="0078060E"/>
    <w:rsid w:val="00866C90"/>
    <w:rsid w:val="00877356"/>
    <w:rsid w:val="008B0E70"/>
    <w:rsid w:val="008F50FA"/>
    <w:rsid w:val="00980057"/>
    <w:rsid w:val="009A5A5F"/>
    <w:rsid w:val="009E368D"/>
    <w:rsid w:val="00A16D27"/>
    <w:rsid w:val="00BA38CD"/>
    <w:rsid w:val="00C57009"/>
    <w:rsid w:val="00C652D6"/>
    <w:rsid w:val="00CD63F7"/>
    <w:rsid w:val="00D107F9"/>
    <w:rsid w:val="00D73548"/>
    <w:rsid w:val="00DF30C3"/>
    <w:rsid w:val="00E83392"/>
    <w:rsid w:val="00E86013"/>
    <w:rsid w:val="00EB379F"/>
    <w:rsid w:val="00ED088E"/>
    <w:rsid w:val="00EE7233"/>
    <w:rsid w:val="00F00E43"/>
    <w:rsid w:val="00F15929"/>
    <w:rsid w:val="00F263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C8F3"/>
  <w15:chartTrackingRefBased/>
  <w15:docId w15:val="{9BCD1108-B674-417C-90FC-FE98417F3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0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72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302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0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0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2FEB"/>
    <w:pPr>
      <w:ind w:left="720"/>
      <w:contextualSpacing/>
    </w:pPr>
  </w:style>
  <w:style w:type="character" w:styleId="Hyperlink">
    <w:name w:val="Hyperlink"/>
    <w:basedOn w:val="DefaultParagraphFont"/>
    <w:uiPriority w:val="99"/>
    <w:unhideWhenUsed/>
    <w:rsid w:val="006C2FEB"/>
    <w:rPr>
      <w:color w:val="0563C1" w:themeColor="hyperlink"/>
      <w:u w:val="single"/>
    </w:rPr>
  </w:style>
  <w:style w:type="character" w:styleId="UnresolvedMention">
    <w:name w:val="Unresolved Mention"/>
    <w:basedOn w:val="DefaultParagraphFont"/>
    <w:uiPriority w:val="99"/>
    <w:semiHidden/>
    <w:unhideWhenUsed/>
    <w:rsid w:val="006C2FEB"/>
    <w:rPr>
      <w:color w:val="605E5C"/>
      <w:shd w:val="clear" w:color="auto" w:fill="E1DFDD"/>
    </w:rPr>
  </w:style>
  <w:style w:type="character" w:customStyle="1" w:styleId="Heading3Char">
    <w:name w:val="Heading 3 Char"/>
    <w:basedOn w:val="DefaultParagraphFont"/>
    <w:link w:val="Heading3"/>
    <w:uiPriority w:val="9"/>
    <w:rsid w:val="00EE723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B0E70"/>
    <w:rPr>
      <w:color w:val="954F72" w:themeColor="followedHyperlink"/>
      <w:u w:val="single"/>
    </w:rPr>
  </w:style>
  <w:style w:type="character" w:customStyle="1" w:styleId="Heading4Char">
    <w:name w:val="Heading 4 Char"/>
    <w:basedOn w:val="DefaultParagraphFont"/>
    <w:link w:val="Heading4"/>
    <w:uiPriority w:val="9"/>
    <w:semiHidden/>
    <w:rsid w:val="0043024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9042">
      <w:bodyDiv w:val="1"/>
      <w:marLeft w:val="0"/>
      <w:marRight w:val="0"/>
      <w:marTop w:val="0"/>
      <w:marBottom w:val="0"/>
      <w:divBdr>
        <w:top w:val="none" w:sz="0" w:space="0" w:color="auto"/>
        <w:left w:val="none" w:sz="0" w:space="0" w:color="auto"/>
        <w:bottom w:val="none" w:sz="0" w:space="0" w:color="auto"/>
        <w:right w:val="none" w:sz="0" w:space="0" w:color="auto"/>
      </w:divBdr>
    </w:div>
    <w:div w:id="26490382">
      <w:bodyDiv w:val="1"/>
      <w:marLeft w:val="0"/>
      <w:marRight w:val="0"/>
      <w:marTop w:val="0"/>
      <w:marBottom w:val="0"/>
      <w:divBdr>
        <w:top w:val="none" w:sz="0" w:space="0" w:color="auto"/>
        <w:left w:val="none" w:sz="0" w:space="0" w:color="auto"/>
        <w:bottom w:val="none" w:sz="0" w:space="0" w:color="auto"/>
        <w:right w:val="none" w:sz="0" w:space="0" w:color="auto"/>
      </w:divBdr>
    </w:div>
    <w:div w:id="241527923">
      <w:bodyDiv w:val="1"/>
      <w:marLeft w:val="0"/>
      <w:marRight w:val="0"/>
      <w:marTop w:val="0"/>
      <w:marBottom w:val="0"/>
      <w:divBdr>
        <w:top w:val="none" w:sz="0" w:space="0" w:color="auto"/>
        <w:left w:val="none" w:sz="0" w:space="0" w:color="auto"/>
        <w:bottom w:val="none" w:sz="0" w:space="0" w:color="auto"/>
        <w:right w:val="none" w:sz="0" w:space="0" w:color="auto"/>
      </w:divBdr>
    </w:div>
    <w:div w:id="250891769">
      <w:bodyDiv w:val="1"/>
      <w:marLeft w:val="0"/>
      <w:marRight w:val="0"/>
      <w:marTop w:val="0"/>
      <w:marBottom w:val="0"/>
      <w:divBdr>
        <w:top w:val="none" w:sz="0" w:space="0" w:color="auto"/>
        <w:left w:val="none" w:sz="0" w:space="0" w:color="auto"/>
        <w:bottom w:val="none" w:sz="0" w:space="0" w:color="auto"/>
        <w:right w:val="none" w:sz="0" w:space="0" w:color="auto"/>
      </w:divBdr>
    </w:div>
    <w:div w:id="341055680">
      <w:bodyDiv w:val="1"/>
      <w:marLeft w:val="0"/>
      <w:marRight w:val="0"/>
      <w:marTop w:val="0"/>
      <w:marBottom w:val="0"/>
      <w:divBdr>
        <w:top w:val="none" w:sz="0" w:space="0" w:color="auto"/>
        <w:left w:val="none" w:sz="0" w:space="0" w:color="auto"/>
        <w:bottom w:val="none" w:sz="0" w:space="0" w:color="auto"/>
        <w:right w:val="none" w:sz="0" w:space="0" w:color="auto"/>
      </w:divBdr>
    </w:div>
    <w:div w:id="352848218">
      <w:bodyDiv w:val="1"/>
      <w:marLeft w:val="0"/>
      <w:marRight w:val="0"/>
      <w:marTop w:val="0"/>
      <w:marBottom w:val="0"/>
      <w:divBdr>
        <w:top w:val="none" w:sz="0" w:space="0" w:color="auto"/>
        <w:left w:val="none" w:sz="0" w:space="0" w:color="auto"/>
        <w:bottom w:val="none" w:sz="0" w:space="0" w:color="auto"/>
        <w:right w:val="none" w:sz="0" w:space="0" w:color="auto"/>
      </w:divBdr>
    </w:div>
    <w:div w:id="435178574">
      <w:bodyDiv w:val="1"/>
      <w:marLeft w:val="0"/>
      <w:marRight w:val="0"/>
      <w:marTop w:val="0"/>
      <w:marBottom w:val="0"/>
      <w:divBdr>
        <w:top w:val="none" w:sz="0" w:space="0" w:color="auto"/>
        <w:left w:val="none" w:sz="0" w:space="0" w:color="auto"/>
        <w:bottom w:val="none" w:sz="0" w:space="0" w:color="auto"/>
        <w:right w:val="none" w:sz="0" w:space="0" w:color="auto"/>
      </w:divBdr>
    </w:div>
    <w:div w:id="460850489">
      <w:bodyDiv w:val="1"/>
      <w:marLeft w:val="0"/>
      <w:marRight w:val="0"/>
      <w:marTop w:val="0"/>
      <w:marBottom w:val="0"/>
      <w:divBdr>
        <w:top w:val="none" w:sz="0" w:space="0" w:color="auto"/>
        <w:left w:val="none" w:sz="0" w:space="0" w:color="auto"/>
        <w:bottom w:val="none" w:sz="0" w:space="0" w:color="auto"/>
        <w:right w:val="none" w:sz="0" w:space="0" w:color="auto"/>
      </w:divBdr>
    </w:div>
    <w:div w:id="473840976">
      <w:bodyDiv w:val="1"/>
      <w:marLeft w:val="0"/>
      <w:marRight w:val="0"/>
      <w:marTop w:val="0"/>
      <w:marBottom w:val="0"/>
      <w:divBdr>
        <w:top w:val="none" w:sz="0" w:space="0" w:color="auto"/>
        <w:left w:val="none" w:sz="0" w:space="0" w:color="auto"/>
        <w:bottom w:val="none" w:sz="0" w:space="0" w:color="auto"/>
        <w:right w:val="none" w:sz="0" w:space="0" w:color="auto"/>
      </w:divBdr>
    </w:div>
    <w:div w:id="806316940">
      <w:bodyDiv w:val="1"/>
      <w:marLeft w:val="0"/>
      <w:marRight w:val="0"/>
      <w:marTop w:val="0"/>
      <w:marBottom w:val="0"/>
      <w:divBdr>
        <w:top w:val="none" w:sz="0" w:space="0" w:color="auto"/>
        <w:left w:val="none" w:sz="0" w:space="0" w:color="auto"/>
        <w:bottom w:val="none" w:sz="0" w:space="0" w:color="auto"/>
        <w:right w:val="none" w:sz="0" w:space="0" w:color="auto"/>
      </w:divBdr>
    </w:div>
    <w:div w:id="961620553">
      <w:bodyDiv w:val="1"/>
      <w:marLeft w:val="0"/>
      <w:marRight w:val="0"/>
      <w:marTop w:val="0"/>
      <w:marBottom w:val="0"/>
      <w:divBdr>
        <w:top w:val="none" w:sz="0" w:space="0" w:color="auto"/>
        <w:left w:val="none" w:sz="0" w:space="0" w:color="auto"/>
        <w:bottom w:val="none" w:sz="0" w:space="0" w:color="auto"/>
        <w:right w:val="none" w:sz="0" w:space="0" w:color="auto"/>
      </w:divBdr>
    </w:div>
    <w:div w:id="1138494047">
      <w:bodyDiv w:val="1"/>
      <w:marLeft w:val="0"/>
      <w:marRight w:val="0"/>
      <w:marTop w:val="0"/>
      <w:marBottom w:val="0"/>
      <w:divBdr>
        <w:top w:val="none" w:sz="0" w:space="0" w:color="auto"/>
        <w:left w:val="none" w:sz="0" w:space="0" w:color="auto"/>
        <w:bottom w:val="none" w:sz="0" w:space="0" w:color="auto"/>
        <w:right w:val="none" w:sz="0" w:space="0" w:color="auto"/>
      </w:divBdr>
    </w:div>
    <w:div w:id="1264218053">
      <w:bodyDiv w:val="1"/>
      <w:marLeft w:val="0"/>
      <w:marRight w:val="0"/>
      <w:marTop w:val="0"/>
      <w:marBottom w:val="0"/>
      <w:divBdr>
        <w:top w:val="none" w:sz="0" w:space="0" w:color="auto"/>
        <w:left w:val="none" w:sz="0" w:space="0" w:color="auto"/>
        <w:bottom w:val="none" w:sz="0" w:space="0" w:color="auto"/>
        <w:right w:val="none" w:sz="0" w:space="0" w:color="auto"/>
      </w:divBdr>
    </w:div>
    <w:div w:id="1293094681">
      <w:bodyDiv w:val="1"/>
      <w:marLeft w:val="0"/>
      <w:marRight w:val="0"/>
      <w:marTop w:val="0"/>
      <w:marBottom w:val="0"/>
      <w:divBdr>
        <w:top w:val="none" w:sz="0" w:space="0" w:color="auto"/>
        <w:left w:val="none" w:sz="0" w:space="0" w:color="auto"/>
        <w:bottom w:val="none" w:sz="0" w:space="0" w:color="auto"/>
        <w:right w:val="none" w:sz="0" w:space="0" w:color="auto"/>
      </w:divBdr>
    </w:div>
    <w:div w:id="1349525890">
      <w:bodyDiv w:val="1"/>
      <w:marLeft w:val="0"/>
      <w:marRight w:val="0"/>
      <w:marTop w:val="0"/>
      <w:marBottom w:val="0"/>
      <w:divBdr>
        <w:top w:val="none" w:sz="0" w:space="0" w:color="auto"/>
        <w:left w:val="none" w:sz="0" w:space="0" w:color="auto"/>
        <w:bottom w:val="none" w:sz="0" w:space="0" w:color="auto"/>
        <w:right w:val="none" w:sz="0" w:space="0" w:color="auto"/>
      </w:divBdr>
    </w:div>
    <w:div w:id="1835801029">
      <w:bodyDiv w:val="1"/>
      <w:marLeft w:val="0"/>
      <w:marRight w:val="0"/>
      <w:marTop w:val="0"/>
      <w:marBottom w:val="0"/>
      <w:divBdr>
        <w:top w:val="none" w:sz="0" w:space="0" w:color="auto"/>
        <w:left w:val="none" w:sz="0" w:space="0" w:color="auto"/>
        <w:bottom w:val="none" w:sz="0" w:space="0" w:color="auto"/>
        <w:right w:val="none" w:sz="0" w:space="0" w:color="auto"/>
      </w:divBdr>
    </w:div>
    <w:div w:id="1968509186">
      <w:bodyDiv w:val="1"/>
      <w:marLeft w:val="0"/>
      <w:marRight w:val="0"/>
      <w:marTop w:val="0"/>
      <w:marBottom w:val="0"/>
      <w:divBdr>
        <w:top w:val="none" w:sz="0" w:space="0" w:color="auto"/>
        <w:left w:val="none" w:sz="0" w:space="0" w:color="auto"/>
        <w:bottom w:val="none" w:sz="0" w:space="0" w:color="auto"/>
        <w:right w:val="none" w:sz="0" w:space="0" w:color="auto"/>
      </w:divBdr>
    </w:div>
    <w:div w:id="209166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fred.stlouisfed.org/series/RCCCBBALTO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consumerfinance.gov/about-us/newsroom/cfpb-report-finds-credit-card-companies-charged-consumers-record-high-130-billion-in-interest-and-fees-in-2022/"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nbc.com/2023/08/10/average-consumer-carries-5947-in-credit-card-debt-a-10-year-hig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6DDD6-4C75-4820-945E-BB0E65F8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14</Pages>
  <Words>3107</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Rohan Satya</dc:creator>
  <cp:keywords/>
  <dc:description/>
  <cp:lastModifiedBy>Isaac, Rohan Satya</cp:lastModifiedBy>
  <cp:revision>8</cp:revision>
  <dcterms:created xsi:type="dcterms:W3CDTF">2023-10-28T17:33:00Z</dcterms:created>
  <dcterms:modified xsi:type="dcterms:W3CDTF">2023-12-15T05:26:00Z</dcterms:modified>
</cp:coreProperties>
</file>