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0"/>
        </w:rPr>
        <w:t>Model District AI Transparency Policy</w:t>
      </w:r>
    </w:p>
    <w:p>
      <w:r>
        <w:rPr>
          <w:color w:val="6B7280"/>
          <w:sz w:val="20"/>
        </w:rPr>
        <w:t>A practical starting point for public AI disclosure, student data protection, and human review in K-12 schools.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r>
              <w:rPr>
                <w:b/>
                <w:color w:val="1F4E79"/>
                <w:sz w:val="21"/>
              </w:rPr>
              <w:t>Purpose</w:t>
            </w:r>
          </w:p>
          <w:p>
            <w:r>
              <w:rPr>
                <w:sz w:val="19"/>
              </w:rPr>
              <w:t>This model policy helps school districts use AI responsibly while giving students and families clear public information. It is not anti-AI. It is pro-transparency.</w:t>
            </w:r>
          </w:p>
        </w:tc>
      </w:tr>
    </w:tbl>
    <w:p>
      <w:r>
        <w:rPr>
          <w:sz w:val="20"/>
        </w:rPr>
        <w:t>This document is a model policy template for school boards, district administrators, parents, students, and community advocates. It is designed to be adapted by a district and reviewed by appropriate legal counsel before adoption.</w:t>
      </w:r>
    </w:p>
    <w:p>
      <w:pPr>
        <w:pStyle w:val="Heading2"/>
      </w:pPr>
      <w:r>
        <w:t>1. Public AI Tool Registry</w:t>
      </w:r>
    </w:p>
    <w:p>
      <w:pPr>
        <w:pStyle w:val="ListBullet"/>
        <w:ind w:left="288"/>
      </w:pPr>
      <w:r>
        <w:rPr>
          <w:sz w:val="19"/>
        </w:rPr>
        <w:t>The district should maintain a public AI tool registry on its website.</w:t>
      </w:r>
    </w:p>
    <w:p>
      <w:pPr>
        <w:pStyle w:val="ListBullet"/>
        <w:ind w:left="288"/>
      </w:pPr>
      <w:r>
        <w:rPr>
          <w:sz w:val="19"/>
        </w:rPr>
        <w:t>The registry should include AI-enabled tools used in instructional, administrative, counseling, monitoring, disciplinary, assessment, school safety, special education, or student-support contexts.</w:t>
      </w:r>
    </w:p>
    <w:p>
      <w:pPr>
        <w:pStyle w:val="ListBullet"/>
        <w:ind w:left="288"/>
      </w:pPr>
      <w:r>
        <w:rPr>
          <w:sz w:val="19"/>
        </w:rPr>
        <w:t>For each tool, the district should identify the vendor, purpose, users, whether student data is processed, and whether the tool may influence high-impact educational decisions.</w:t>
      </w:r>
    </w:p>
    <w:p>
      <w:pPr>
        <w:pStyle w:val="ListBullet"/>
        <w:ind w:left="288"/>
      </w:pPr>
      <w:r>
        <w:rPr>
          <w:sz w:val="19"/>
        </w:rPr>
        <w:t>The registry should include a district contact for questions about AI use.</w:t>
      </w:r>
    </w:p>
    <w:p>
      <w:pPr>
        <w:pStyle w:val="Heading2"/>
      </w:pPr>
      <w:r>
        <w:t>2. Notice for High-Impact Uses</w:t>
      </w:r>
    </w:p>
    <w:p>
      <w:pPr>
        <w:pStyle w:val="ListBullet"/>
        <w:ind w:left="288"/>
      </w:pPr>
      <w:r>
        <w:rPr>
          <w:sz w:val="19"/>
        </w:rPr>
        <w:t>Students and families should receive notice when AI-enabled tools are used in contexts that may materially affect a student.</w:t>
      </w:r>
    </w:p>
    <w:p>
      <w:pPr>
        <w:pStyle w:val="ListBullet"/>
        <w:ind w:left="288"/>
      </w:pPr>
      <w:r>
        <w:rPr>
          <w:sz w:val="19"/>
        </w:rPr>
        <w:t>High-impact contexts include grading, discipline, academic placement, counseling or mental health triage, attendance intervention, monitoring or surveillance, plagiarism or misconduct detection, special education support, and college or career advising.</w:t>
      </w:r>
    </w:p>
    <w:p>
      <w:pPr>
        <w:pStyle w:val="ListBullet"/>
        <w:ind w:left="288"/>
      </w:pPr>
      <w:r>
        <w:rPr>
          <w:sz w:val="19"/>
        </w:rPr>
        <w:t>Notice should be written in clear language that students and families can understand.</w:t>
      </w:r>
    </w:p>
    <w:p>
      <w:pPr>
        <w:pStyle w:val="Heading2"/>
      </w:pPr>
      <w:r>
        <w:t>3. Human Review Before Serious Consequences</w:t>
      </w:r>
    </w:p>
    <w:p>
      <w:pPr>
        <w:pStyle w:val="ListBullet"/>
        <w:ind w:left="288"/>
      </w:pPr>
      <w:r>
        <w:rPr>
          <w:sz w:val="19"/>
        </w:rPr>
        <w:t>AI should not be the sole basis for serious academic, disciplinary, placement, counseling, or educational record consequences.</w:t>
      </w:r>
    </w:p>
    <w:p>
      <w:pPr>
        <w:pStyle w:val="ListBullet"/>
        <w:ind w:left="288"/>
      </w:pPr>
      <w:r>
        <w:rPr>
          <w:sz w:val="19"/>
        </w:rPr>
        <w:t>Before a serious consequence is imposed, a qualified district employee should review the relevant facts, the AI-generated output, and any student or family explanation.</w:t>
      </w:r>
    </w:p>
    <w:p>
      <w:pPr>
        <w:pStyle w:val="ListBullet"/>
        <w:ind w:left="288"/>
      </w:pPr>
      <w:r>
        <w:rPr>
          <w:sz w:val="19"/>
        </w:rPr>
        <w:t>Human review should be meaningful, not merely a rubber stamp of an automated output.</w:t>
      </w:r>
    </w:p>
    <w:p>
      <w:pPr>
        <w:pStyle w:val="Heading2"/>
      </w:pPr>
      <w:r>
        <w:t>4. Appeal and Correction Process</w:t>
      </w:r>
    </w:p>
    <w:p>
      <w:pPr>
        <w:pStyle w:val="ListBullet"/>
        <w:ind w:left="288"/>
      </w:pPr>
      <w:r>
        <w:rPr>
          <w:sz w:val="19"/>
        </w:rPr>
        <w:t>Students and families should be able to request human review of AI-influenced decisions.</w:t>
      </w:r>
    </w:p>
    <w:p>
      <w:pPr>
        <w:pStyle w:val="ListBullet"/>
        <w:ind w:left="288"/>
      </w:pPr>
      <w:r>
        <w:rPr>
          <w:sz w:val="19"/>
        </w:rPr>
        <w:t>The district should provide a process to request an explanation, correct inaccurate information, submit relevant context, and seek reconsideration.</w:t>
      </w:r>
    </w:p>
    <w:p>
      <w:pPr>
        <w:pStyle w:val="ListBullet"/>
        <w:ind w:left="288"/>
      </w:pPr>
      <w:r>
        <w:rPr>
          <w:sz w:val="19"/>
        </w:rPr>
        <w:t>The appeal process should identify who reviews the request and the expected response timeline.</w:t>
      </w:r>
    </w:p>
    <w:p>
      <w:pPr>
        <w:pStyle w:val="Heading2"/>
      </w:pPr>
      <w:r>
        <w:t>5. Student Data Protection</w:t>
      </w:r>
    </w:p>
    <w:p>
      <w:pPr>
        <w:pStyle w:val="ListBullet"/>
        <w:ind w:left="288"/>
      </w:pPr>
      <w:r>
        <w:rPr>
          <w:sz w:val="19"/>
        </w:rPr>
        <w:t>Student data processed by AI-enabled tools should be limited to what is necessary for the educational purpose approved by the district.</w:t>
      </w:r>
    </w:p>
    <w:p>
      <w:pPr>
        <w:pStyle w:val="ListBullet"/>
        <w:ind w:left="288"/>
      </w:pPr>
      <w:r>
        <w:rPr>
          <w:sz w:val="19"/>
        </w:rPr>
        <w:t>Student data should not be sold, used for unrelated advertising, or used for secondary model training unless explicitly permitted by law and district policy.</w:t>
      </w:r>
    </w:p>
    <w:p>
      <w:pPr>
        <w:pStyle w:val="ListBullet"/>
        <w:ind w:left="288"/>
      </w:pPr>
      <w:r>
        <w:rPr>
          <w:sz w:val="19"/>
        </w:rPr>
        <w:t>The district should review vendor terms for data collection, retention, deletion, security, and model-training practices.</w:t>
      </w:r>
    </w:p>
    <w:p>
      <w:pPr>
        <w:pStyle w:val="ListBullet"/>
        <w:ind w:left="288"/>
      </w:pPr>
      <w:r>
        <w:rPr>
          <w:sz w:val="19"/>
        </w:rPr>
        <w:t>District staff should avoid entering sensitive student information into AI tools that have not been approved for that purpose.</w:t>
      </w:r>
    </w:p>
    <w:p>
      <w:pPr>
        <w:pStyle w:val="Heading2"/>
      </w:pPr>
      <w:r>
        <w:t>6. Vendor Contract Transparency</w:t>
      </w:r>
    </w:p>
    <w:p>
      <w:pPr>
        <w:pStyle w:val="ListBullet"/>
        <w:ind w:left="288"/>
      </w:pPr>
      <w:r>
        <w:rPr>
          <w:sz w:val="19"/>
        </w:rPr>
        <w:t>District contracts with AI-enabled vendors should address data collection, data retention, deletion, security, model training, auditability, and limitations of AI outputs.</w:t>
      </w:r>
    </w:p>
    <w:p>
      <w:pPr>
        <w:pStyle w:val="ListBullet"/>
        <w:ind w:left="288"/>
      </w:pPr>
      <w:r>
        <w:rPr>
          <w:sz w:val="19"/>
        </w:rPr>
        <w:t>The district should be able to explain whether a vendor uses student data to train, fine-tune, improve, or evaluate AI models.</w:t>
      </w:r>
    </w:p>
    <w:p>
      <w:pPr>
        <w:pStyle w:val="ListBullet"/>
        <w:ind w:left="288"/>
      </w:pPr>
      <w:r>
        <w:rPr>
          <w:sz w:val="19"/>
        </w:rPr>
        <w:t>The district should maintain documentation of approved AI tools and procurement decisions.</w:t>
      </w:r>
    </w:p>
    <w:p>
      <w:pPr>
        <w:pStyle w:val="Heading2"/>
      </w:pPr>
      <w:r>
        <w:t>7. Annual AI Transparency Report</w:t>
      </w:r>
    </w:p>
    <w:p>
      <w:pPr>
        <w:pStyle w:val="ListBullet"/>
        <w:ind w:left="288"/>
      </w:pPr>
      <w:r>
        <w:rPr>
          <w:sz w:val="19"/>
        </w:rPr>
        <w:t>The district should publish an annual AI transparency report summarizing AI tools used, purposes of use, high-impact contexts, complaints or appeals, policy updates, and vendor changes.</w:t>
      </w:r>
    </w:p>
    <w:p>
      <w:pPr>
        <w:pStyle w:val="ListBullet"/>
        <w:ind w:left="288"/>
      </w:pPr>
      <w:r>
        <w:rPr>
          <w:sz w:val="19"/>
        </w:rPr>
        <w:t>The report should be accessible to students, families, educators, and the public.</w:t>
      </w:r>
    </w:p>
    <w:p>
      <w:pPr>
        <w:pStyle w:val="ListBullet"/>
        <w:ind w:left="288"/>
      </w:pPr>
      <w:r>
        <w:rPr>
          <w:sz w:val="19"/>
        </w:rPr>
        <w:t>The district should use the report to review whether AI tools are serving educational goals and whether additional safeguards are needed.</w:t>
      </w:r>
    </w:p>
    <w:p>
      <w:pPr>
        <w:pStyle w:val="Heading2"/>
      </w:pPr>
      <w:r>
        <w:t>How a District Can Start</w:t>
      </w:r>
    </w:p>
    <w:p>
      <w:pPr>
        <w:pStyle w:val="ListNumber"/>
      </w:pPr>
      <w:r>
        <w:rPr>
          <w:sz w:val="19"/>
        </w:rPr>
        <w:t>Publish a simple AI disclosure page on the district website.</w:t>
      </w:r>
    </w:p>
    <w:p>
      <w:pPr>
        <w:pStyle w:val="ListNumber"/>
      </w:pPr>
      <w:r>
        <w:rPr>
          <w:sz w:val="19"/>
        </w:rPr>
        <w:t>List AI-enabled tools currently used by the district.</w:t>
      </w:r>
    </w:p>
    <w:p>
      <w:pPr>
        <w:pStyle w:val="ListNumber"/>
      </w:pPr>
      <w:r>
        <w:rPr>
          <w:sz w:val="19"/>
        </w:rPr>
        <w:t>Identify whether student data is processed by each tool.</w:t>
      </w:r>
    </w:p>
    <w:p>
      <w:pPr>
        <w:pStyle w:val="ListNumber"/>
      </w:pPr>
      <w:r>
        <w:rPr>
          <w:sz w:val="19"/>
        </w:rPr>
        <w:t>State where human review is required before serious consequences.</w:t>
      </w:r>
    </w:p>
    <w:p>
      <w:pPr>
        <w:pStyle w:val="ListNumber"/>
      </w:pPr>
      <w:r>
        <w:rPr>
          <w:sz w:val="19"/>
        </w:rPr>
        <w:t>Provide a parent and student contact for questions.</w:t>
      </w:r>
    </w:p>
    <w:p>
      <w:pPr>
        <w:pStyle w:val="ListNumber"/>
      </w:pPr>
      <w:r>
        <w:rPr>
          <w:sz w:val="19"/>
        </w:rPr>
        <w:t>Review vendor contracts for AI and data terms.</w:t>
      </w:r>
    </w:p>
    <w:p>
      <w:pPr>
        <w:pStyle w:val="ListNumber"/>
      </w:pPr>
      <w:r>
        <w:rPr>
          <w:sz w:val="19"/>
        </w:rPr>
        <w:t>Update the AI disclosure page at least annually.</w:t>
      </w:r>
    </w:p>
    <w:p>
      <w:pPr>
        <w:pStyle w:val="Heading2"/>
      </w:pPr>
      <w:r>
        <w:t>Suggested School Board Resolution Language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r>
              <w:rPr>
                <w:b/>
                <w:color w:val="1F4E79"/>
                <w:sz w:val="21"/>
              </w:rPr>
              <w:t>Resolution starter language</w:t>
            </w:r>
          </w:p>
          <w:p>
            <w:r>
              <w:rPr>
                <w:sz w:val="19"/>
              </w:rPr>
              <w:t>The Board directs the district to publish a public AI transparency page listing AI-enabled tools used in instructional, administrative, counseling, monitoring, disciplinary, assessment, or student-support contexts, and to develop procedures for student data protection, parent/student notice, and human review of AI-influenced high-impact decisions.</w:t>
            </w:r>
          </w:p>
        </w:tc>
      </w:tr>
    </w:tbl>
    <w:p>
      <w:pPr>
        <w:pStyle w:val="Heading2"/>
      </w:pPr>
      <w:r>
        <w:t>Contact and Coalition Information</w:t>
      </w:r>
    </w:p>
    <w:p>
      <w:r>
        <w:rPr>
          <w:sz w:val="19"/>
        </w:rPr>
        <w:t>Students for K-12 AI Transparency is recruiting student ambassadors, district advocates, research volunteers, policy volunteers, communications volunteers, and advisors.</w:t>
      </w:r>
    </w:p>
    <w:p>
      <w:r>
        <w:rPr>
          <w:b/>
        </w:rPr>
        <w:t xml:space="preserve">Join form: </w:t>
      </w:r>
      <w:hyperlink r:id="rId9">
        <w:r>
          <w:rPr>
            <w:color w:val="1F4E79"/>
            <w:u w:val="single"/>
          </w:rPr>
          <w:t>https://forms.gle/fhhreQ1nHUoaTuw86</w:t>
        </w:r>
      </w:hyperlink>
    </w:p>
    <w:p>
      <w:r>
        <w:rPr>
          <w:b/>
        </w:rPr>
        <w:t xml:space="preserve">Contact: </w:t>
      </w:r>
      <w:r>
        <w:t>ronysbrand@gmail.com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K-12 AI Transparency Index | Students for K-12 AI Transparency | ronysbrand@gmail.com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forms.gle/fhhreQ1nHUoaTuw86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