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Student AI Transparency and Human Review Act</w:t>
      </w:r>
    </w:p>
    <w:p>
      <w:r>
        <w:rPr>
          <w:color w:val="6B7280"/>
          <w:sz w:val="20"/>
        </w:rPr>
        <w:t>Model legislative memo for state lawmakers, staff, school boards, and civic partners.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>
              <w:rPr>
                <w:b/>
                <w:color w:val="1F4E79"/>
                <w:sz w:val="21"/>
              </w:rPr>
              <w:t>Core principle</w:t>
            </w:r>
          </w:p>
          <w:p>
            <w:r>
              <w:rPr>
                <w:sz w:val="19"/>
              </w:rPr>
              <w:t>No student should face a major educational consequence from an AI-influenced decision without notice, explanation, and meaningful human review.</w:t>
            </w:r>
          </w:p>
        </w:tc>
      </w:tr>
    </w:tbl>
    <w:p>
      <w:r>
        <w:rPr>
          <w:sz w:val="20"/>
        </w:rPr>
        <w:t>This memo outlines a narrow, practical model state bill for K-12 public schools. The proposal does not ban AI in schools. It focuses on public disclosure, student data safeguards, appeal rights, and human review before serious consequences.</w:t>
      </w:r>
    </w:p>
    <w:p>
      <w:pPr>
        <w:pStyle w:val="Heading2"/>
      </w:pPr>
      <w:r>
        <w:t>Problem</w:t>
      </w:r>
    </w:p>
    <w:p>
      <w:r>
        <w:rPr>
          <w:sz w:val="19"/>
        </w:rPr>
        <w:t>Schools are adopting AI-enabled tools faster than many students and families can understand them. In many districts, basic public information is difficult to find: what tools are used, whether student data is processed, whether AI can influence high-impact decisions, and whether a human review process exists.</w:t>
      </w:r>
    </w:p>
    <w:p>
      <w:r>
        <w:rPr>
          <w:sz w:val="19"/>
        </w:rPr>
        <w:t>The K-12 AI Transparency Index tracks public AI transparency signals across 1,913 districts in all 50 states. The index identifies transparency gaps. The coalition turns that evidence into action.</w:t>
      </w:r>
    </w:p>
    <w:p>
      <w:pPr>
        <w:pStyle w:val="Heading2"/>
      </w:pPr>
      <w:r>
        <w:t>Policy Goal</w:t>
      </w:r>
    </w:p>
    <w:p>
      <w:r>
        <w:rPr>
          <w:sz w:val="19"/>
        </w:rPr>
        <w:t>The Student AI Transparency and Human Review Act would require public school districts to provide basic public information about AI-enabled systems used in schools, protect student data, and ensure meaningful human review before serious AI-influenced consequences.</w:t>
      </w:r>
    </w:p>
    <w:p>
      <w:pPr>
        <w:pStyle w:val="Heading2"/>
      </w:pPr>
      <w:r>
        <w:t>Key Provisions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Provision</w:t>
            </w:r>
          </w:p>
        </w:tc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What it would do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Public AI Tools Registry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Districts publish a public registry of AI-enabled tools, including vendor name, purpose, users, whether student data is processed, and whether the tool may influence high-impact decisions.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Disclosure of High-Impact Uses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Districts disclose whether AI is used in grading, discipline, counseling, monitoring, surveillance, special education, academic placement, misconduct detection, or other high-impact contexts.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Notice to Students and Families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Students and families receive clear notice when AI-enabled tools are used in contexts that may materially affect a student.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Human Review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AI may not be the sole basis for suspension, expulsion, grade penalties, academic placement changes, disciplinary records, special education decisions, or comparable serious consequences.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Appeal Process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Students and families may request explanation, correction of inaccurate data, human review, and reconsideration of AI-influenced decisions.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Student Data Protections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Student data processed by AI tools may not be sold, used for unrelated advertising, or used for secondary model training unless explicitly permitted by law and district policy.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Vendor Contract Transparency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Contracts with AI-enabled vendors must address data collection, retention, deletion, model training, security, auditability, and limits on use.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Annual District Reports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Districts publish annual AI transparency reports summarizing tools used, purposes, high-impact uses, complaints, appeals, vendor changes, and policy updates.</w:t>
            </w:r>
          </w:p>
        </w:tc>
      </w:tr>
      <w:tr>
        <w:tc>
          <w:tcPr>
            <w:tcW w:type="dxa" w:w="5040"/>
            <w:shd w:fill="F8FAFC"/>
          </w:tcPr>
          <w:p>
            <w:r/>
            <w:r>
              <w:rPr>
                <w:b/>
                <w:color w:val="1F4E79"/>
                <w:sz w:val="17"/>
              </w:rPr>
              <w:t>Implementation Timeline</w:t>
            </w:r>
          </w:p>
        </w:tc>
        <w:tc>
          <w:tcPr>
            <w:tcW w:type="dxa" w:w="5040"/>
            <w:shd w:fill="FFFFFF"/>
          </w:tcPr>
          <w:p>
            <w:r/>
            <w:r>
              <w:rPr>
                <w:b w:val="0"/>
                <w:color w:val="1F2937"/>
                <w:sz w:val="16"/>
              </w:rPr>
              <w:t>Districts receive a reasonable implementation period, such as 12 months, to publish registries, update policies, and review vendor terms.</w:t>
            </w:r>
          </w:p>
        </w:tc>
      </w:tr>
    </w:tbl>
    <w:p>
      <w:pPr>
        <w:pStyle w:val="Heading2"/>
      </w:pPr>
      <w:r>
        <w:t>Why This Is Narrow and Practical</w:t>
      </w:r>
    </w:p>
    <w:p>
      <w:pPr>
        <w:pStyle w:val="ListBullet"/>
        <w:ind w:left="288"/>
      </w:pPr>
      <w:r>
        <w:rPr>
          <w:sz w:val="19"/>
        </w:rPr>
        <w:t>It does not ban AI in schools.</w:t>
      </w:r>
    </w:p>
    <w:p>
      <w:pPr>
        <w:pStyle w:val="ListBullet"/>
        <w:ind w:left="288"/>
      </w:pPr>
      <w:r>
        <w:rPr>
          <w:sz w:val="19"/>
        </w:rPr>
        <w:t>It focuses on transparency, not broad technology control.</w:t>
      </w:r>
    </w:p>
    <w:p>
      <w:pPr>
        <w:pStyle w:val="ListBullet"/>
        <w:ind w:left="288"/>
      </w:pPr>
      <w:r>
        <w:rPr>
          <w:sz w:val="19"/>
        </w:rPr>
        <w:t>It gives districts time to comply.</w:t>
      </w:r>
    </w:p>
    <w:p>
      <w:pPr>
        <w:pStyle w:val="ListBullet"/>
        <w:ind w:left="288"/>
      </w:pPr>
      <w:r>
        <w:rPr>
          <w:sz w:val="19"/>
        </w:rPr>
        <w:t>It protects students in high-impact contexts without stopping teachers from using AI responsibly.</w:t>
      </w:r>
    </w:p>
    <w:p>
      <w:pPr>
        <w:pStyle w:val="ListBullet"/>
        <w:ind w:left="288"/>
      </w:pPr>
      <w:r>
        <w:rPr>
          <w:sz w:val="19"/>
        </w:rPr>
        <w:t>It helps school boards, parents, and students ask clear questions about tools, data, and human review.</w:t>
      </w:r>
    </w:p>
    <w:p>
      <w:pPr>
        <w:pStyle w:val="Heading2"/>
      </w:pPr>
      <w:r>
        <w:t>Who This Helps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3F4F6"/>
          </w:tcPr>
          <w:p>
            <w:r>
              <w:rPr>
                <w:b/>
                <w:color w:val="1F4E79"/>
                <w:sz w:val="18"/>
              </w:rPr>
              <w:t>Students</w:t>
              <w:br/>
            </w:r>
            <w:r>
              <w:rPr>
                <w:sz w:val="17"/>
              </w:rPr>
              <w:t>Students gain notice, explanation, and human review when AI affects serious educational outcomes.</w:t>
            </w:r>
          </w:p>
        </w:tc>
        <w:tc>
          <w:tcPr>
            <w:tcW w:type="dxa" w:w="5040"/>
            <w:shd w:fill="FFFFFF"/>
          </w:tcPr>
          <w:p>
            <w:r>
              <w:rPr>
                <w:b/>
                <w:color w:val="1F4E79"/>
                <w:sz w:val="18"/>
              </w:rPr>
              <w:t>Parents and guardians</w:t>
              <w:br/>
            </w:r>
            <w:r>
              <w:rPr>
                <w:sz w:val="17"/>
              </w:rPr>
              <w:t>Families can see what AI tools are used and how student data is handled.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  <w:color w:val="1F4E79"/>
                <w:sz w:val="18"/>
              </w:rPr>
              <w:t>Teachers</w:t>
              <w:br/>
            </w:r>
            <w:r>
              <w:rPr>
                <w:sz w:val="17"/>
              </w:rPr>
              <w:t>Educators receive clearer district guidance instead of vague or inconsistent expectations.</w:t>
            </w:r>
          </w:p>
        </w:tc>
        <w:tc>
          <w:tcPr>
            <w:tcW w:type="dxa" w:w="5040"/>
            <w:shd w:fill="FFFFFF"/>
          </w:tcPr>
          <w:p>
            <w:r>
              <w:rPr>
                <w:b/>
                <w:color w:val="1F4E79"/>
                <w:sz w:val="18"/>
              </w:rPr>
              <w:t>School boards</w:t>
              <w:br/>
            </w:r>
            <w:r>
              <w:rPr>
                <w:sz w:val="17"/>
              </w:rPr>
              <w:t>Boards gain a practical governance framework for AI oversight.</w:t>
            </w:r>
          </w:p>
        </w:tc>
      </w:tr>
      <w:tr>
        <w:tc>
          <w:tcPr>
            <w:tcW w:type="dxa" w:w="5040"/>
            <w:shd w:fill="F3F4F6"/>
          </w:tcPr>
          <w:p>
            <w:r>
              <w:rPr>
                <w:b/>
                <w:color w:val="1F4E79"/>
                <w:sz w:val="18"/>
              </w:rPr>
              <w:t>District administrators</w:t>
              <w:br/>
            </w:r>
            <w:r>
              <w:rPr>
                <w:sz w:val="17"/>
              </w:rPr>
              <w:t>Districts receive a clear checklist for public disclosure and vendor review.</w:t>
            </w:r>
          </w:p>
        </w:tc>
        <w:tc>
          <w:tcPr>
            <w:tcW w:type="dxa" w:w="5040"/>
            <w:shd w:fill="FFFFFF"/>
          </w:tcPr>
          <w:p>
            <w:r>
              <w:rPr>
                <w:b/>
                <w:color w:val="1F4E79"/>
                <w:sz w:val="18"/>
              </w:rPr>
              <w:t>State lawmakers</w:t>
              <w:br/>
            </w:r>
            <w:r>
              <w:rPr>
                <w:sz w:val="17"/>
              </w:rPr>
              <w:t>Lawmakers can address AI in schools through a focused, student-centered transparency bill.</w:t>
            </w:r>
          </w:p>
        </w:tc>
      </w:tr>
    </w:tbl>
    <w:p>
      <w:pPr>
        <w:pStyle w:val="Heading2"/>
      </w:pPr>
      <w:r>
        <w:t>Recommended First Steps for a Legislative Office</w:t>
      </w:r>
    </w:p>
    <w:p>
      <w:pPr>
        <w:pStyle w:val="ListNumber"/>
      </w:pPr>
      <w:r>
        <w:rPr>
          <w:sz w:val="19"/>
        </w:rPr>
        <w:t>Review the model bill framework with education, privacy, and technology staff.</w:t>
      </w:r>
    </w:p>
    <w:p>
      <w:pPr>
        <w:pStyle w:val="ListNumber"/>
      </w:pPr>
      <w:r>
        <w:rPr>
          <w:sz w:val="19"/>
        </w:rPr>
        <w:t>Ask the state education department how districts currently disclose AI-enabled tools.</w:t>
      </w:r>
    </w:p>
    <w:p>
      <w:pPr>
        <w:pStyle w:val="ListNumber"/>
      </w:pPr>
      <w:r>
        <w:rPr>
          <w:sz w:val="19"/>
        </w:rPr>
        <w:t>Meet with students, parents, school boards, district administrators, and data privacy experts.</w:t>
      </w:r>
    </w:p>
    <w:p>
      <w:pPr>
        <w:pStyle w:val="ListNumber"/>
      </w:pPr>
      <w:r>
        <w:rPr>
          <w:sz w:val="19"/>
        </w:rPr>
        <w:t>Convert the model provisions into state-specific bill language.</w:t>
      </w:r>
    </w:p>
    <w:p>
      <w:pPr>
        <w:pStyle w:val="ListNumber"/>
      </w:pPr>
      <w:r>
        <w:rPr>
          <w:sz w:val="19"/>
        </w:rPr>
        <w:t>Begin with transparency, human review, and student data protections as the core bill package.</w:t>
      </w:r>
    </w:p>
    <w:p>
      <w:pPr>
        <w:pStyle w:val="Heading2"/>
      </w:pPr>
      <w:r>
        <w:t>Contact</w:t>
      </w:r>
    </w:p>
    <w:p>
      <w:r>
        <w:rPr>
          <w:b/>
        </w:rPr>
        <w:t xml:space="preserve">Join form: </w:t>
      </w:r>
      <w:hyperlink r:id="rId9">
        <w:r>
          <w:rPr>
            <w:color w:val="1F4E79"/>
            <w:u w:val="single"/>
          </w:rPr>
          <w:t>https://forms.gle/fhhreQ1nHUoaTuw86</w:t>
        </w:r>
      </w:hyperlink>
    </w:p>
    <w:p>
      <w:r>
        <w:rPr>
          <w:b/>
        </w:rPr>
        <w:t xml:space="preserve">Contact: </w:t>
      </w:r>
      <w:r>
        <w:t>ronysbrand@gmail.com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K-12 AI Transparency Index | Students for K-12 AI Transparency | ronysbrand@gmail.com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ms.gle/fhhreQ1nHUoaTuw86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