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E79"/>
          <w:sz w:val="40"/>
        </w:rPr>
        <w:t>Students for K-12 AI Transparency</w:t>
      </w:r>
    </w:p>
    <w:p>
      <w:r>
        <w:rPr>
          <w:color w:val="6B7280"/>
          <w:sz w:val="20"/>
        </w:rPr>
        <w:t>A national student-led coalition making AI use in schools visible, understandable, and accountable.</w:t>
      </w:r>
    </w:p>
    <w:tbl>
      <w:tblPr>
        <w:tblW w:type="auto" w:w="0"/>
        <w:jc w:val="center"/>
        <w:tblLook w:firstColumn="1" w:firstRow="1" w:lastColumn="0" w:lastRow="0" w:noHBand="0" w:noVBand="1" w:val="04A0"/>
      </w:tblPr>
      <w:tblGrid>
        <w:gridCol w:w="2664"/>
        <w:gridCol w:w="2664"/>
        <w:gridCol w:w="2664"/>
        <w:gridCol w:w="2664"/>
      </w:tblGrid>
      <w:tr>
        <w:tc>
          <w:tcPr>
            <w:tcW w:type="dxa" w:w="2664"/>
            <w:shd w:fill="D9EAF7"/>
          </w:tcPr>
          <w:p>
            <w:pPr>
              <w:jc w:val="center"/>
            </w:pPr>
            <w:r>
              <w:rPr>
                <w:b/>
                <w:color w:val="1F4E79"/>
                <w:sz w:val="28"/>
              </w:rPr>
              <w:t>1,913</w:t>
              <w:br/>
            </w:r>
            <w:r>
              <w:rPr>
                <w:color w:val="1F2937"/>
                <w:sz w:val="17"/>
              </w:rPr>
              <w:t>districts indexed</w:t>
            </w:r>
          </w:p>
        </w:tc>
        <w:tc>
          <w:tcPr>
            <w:tcW w:type="dxa" w:w="2664"/>
            <w:shd w:fill="F3F4F6"/>
          </w:tcPr>
          <w:p>
            <w:pPr>
              <w:jc w:val="center"/>
            </w:pPr>
            <w:r>
              <w:rPr>
                <w:b/>
                <w:color w:val="1F4E79"/>
                <w:sz w:val="28"/>
              </w:rPr>
              <w:t>50</w:t>
              <w:br/>
            </w:r>
            <w:r>
              <w:rPr>
                <w:color w:val="1F2937"/>
                <w:sz w:val="17"/>
              </w:rPr>
              <w:t>states covered</w:t>
            </w:r>
          </w:p>
        </w:tc>
        <w:tc>
          <w:tcPr>
            <w:tcW w:type="dxa" w:w="2664"/>
            <w:shd w:fill="D9EAF7"/>
          </w:tcPr>
          <w:p>
            <w:pPr>
              <w:jc w:val="center"/>
            </w:pPr>
            <w:r>
              <w:rPr>
                <w:b/>
                <w:color w:val="1F4E79"/>
                <w:sz w:val="28"/>
              </w:rPr>
              <w:t>Public</w:t>
              <w:br/>
            </w:r>
            <w:r>
              <w:rPr>
                <w:color w:val="1F2937"/>
                <w:sz w:val="17"/>
              </w:rPr>
              <w:t>audit scores</w:t>
            </w:r>
          </w:p>
        </w:tc>
        <w:tc>
          <w:tcPr>
            <w:tcW w:type="dxa" w:w="2664"/>
            <w:shd w:fill="F3F4F6"/>
          </w:tcPr>
          <w:p>
            <w:pPr>
              <w:jc w:val="center"/>
            </w:pPr>
            <w:r>
              <w:rPr>
                <w:b/>
                <w:color w:val="1F4E79"/>
                <w:sz w:val="28"/>
              </w:rPr>
              <w:t>Now</w:t>
              <w:br/>
            </w:r>
            <w:r>
              <w:rPr>
                <w:color w:val="1F2937"/>
                <w:sz w:val="17"/>
              </w:rPr>
              <w:t>recruiting ambassadors</w:t>
            </w:r>
          </w:p>
        </w:tc>
      </w:tr>
    </w:tbl>
    <w:p>
      <w:r>
        <w:rPr>
          <w:b/>
          <w:color w:val="1F4E79"/>
          <w:sz w:val="17"/>
        </w:rPr>
        <w:t>MISSION</w:t>
      </w:r>
    </w:p>
    <w:p>
      <w:r>
        <w:rPr>
          <w:sz w:val="19"/>
        </w:rPr>
        <w:t>Students for K-12 AI Transparency is the action arm of the K-12 AI Transparency Index. The index identifies transparency gaps across school districts. The coalition turns that evidence into action by helping students, parents, educators, school boards, and policymakers push for AI disclosure, student data protections, and human review.</w:t>
      </w:r>
    </w:p>
    <w:tbl>
      <w:tblPr>
        <w:tblW w:type="auto" w:w="0"/>
        <w:jc w:val="center"/>
        <w:tblLook w:firstColumn="1" w:firstRow="1" w:lastColumn="0" w:lastRow="0" w:noHBand="0" w:noVBand="1" w:val="04A0"/>
      </w:tblPr>
      <w:tblGrid>
        <w:gridCol w:w="10656"/>
      </w:tblGrid>
      <w:tr>
        <w:tc>
          <w:tcPr>
            <w:tcW w:type="dxa" w:w="10656"/>
            <w:shd w:fill="EAF2F8"/>
            <w:vAlign w:val="center"/>
          </w:tcPr>
          <w:p>
            <w:r>
              <w:rPr>
                <w:b/>
                <w:color w:val="1F4E79"/>
                <w:sz w:val="21"/>
              </w:rPr>
              <w:t>Core principle</w:t>
            </w:r>
          </w:p>
          <w:p>
            <w:r>
              <w:rPr>
                <w:sz w:val="19"/>
              </w:rPr>
              <w:t>We are not anti-AI. We are pro-transparency. Students and families deserve to know when AI is used in schools, what data it processes, and what human protections exist.</w:t>
            </w:r>
          </w:p>
        </w:tc>
      </w:tr>
    </w:tbl>
    <w:p>
      <w:r>
        <w:rPr>
          <w:b/>
          <w:color w:val="1F4E79"/>
          <w:sz w:val="17"/>
        </w:rPr>
        <w:t>WHAT WE ARE FIGHTING FOR</w:t>
      </w:r>
    </w:p>
    <w:tbl>
      <w:tblPr>
        <w:tblW w:type="auto" w:w="0"/>
        <w:jc w:val="center"/>
        <w:tblLook w:firstColumn="1" w:firstRow="1" w:lastColumn="0" w:lastRow="0" w:noHBand="0" w:noVBand="1" w:val="04A0"/>
      </w:tblPr>
      <w:tblGrid>
        <w:gridCol w:w="5328"/>
        <w:gridCol w:w="5328"/>
      </w:tblGrid>
      <w:tr>
        <w:tc>
          <w:tcPr>
            <w:tcW w:type="dxa" w:w="5328"/>
            <w:shd w:fill="FFFFFF"/>
          </w:tcPr>
          <w:p>
            <w:r>
              <w:rPr>
                <w:b/>
                <w:color w:val="1F4E79"/>
                <w:sz w:val="18"/>
              </w:rPr>
              <w:t>Public AI tool registries</w:t>
              <w:br/>
            </w:r>
            <w:r>
              <w:rPr>
                <w:sz w:val="16"/>
              </w:rPr>
              <w:t>Districts should disclose AI-enabled tools used in instructional, administrative, counseling, monitoring, disciplinary, assessment, or student-support contexts.</w:t>
            </w:r>
          </w:p>
        </w:tc>
        <w:tc>
          <w:tcPr>
            <w:tcW w:type="dxa" w:w="5328"/>
            <w:shd w:fill="FFFFFF"/>
          </w:tcPr>
          <w:p>
            <w:r>
              <w:rPr>
                <w:b/>
                <w:color w:val="1F4E79"/>
                <w:sz w:val="18"/>
              </w:rPr>
              <w:t>Student and family notice</w:t>
              <w:br/>
            </w:r>
            <w:r>
              <w:rPr>
                <w:sz w:val="16"/>
              </w:rPr>
              <w:t>Students and families should receive clear notice when AI is used in high-impact educational contexts.</w:t>
            </w:r>
          </w:p>
        </w:tc>
      </w:tr>
      <w:tr>
        <w:tc>
          <w:tcPr>
            <w:tcW w:type="dxa" w:w="5328"/>
            <w:shd w:fill="FFFFFF"/>
          </w:tcPr>
          <w:p>
            <w:r>
              <w:rPr>
                <w:b/>
                <w:color w:val="1F4E79"/>
                <w:sz w:val="18"/>
              </w:rPr>
              <w:t>Human review</w:t>
              <w:br/>
            </w:r>
            <w:r>
              <w:rPr>
                <w:sz w:val="16"/>
              </w:rPr>
              <w:t>AI should not be the sole basis for serious academic, disciplinary, placement, counseling, or educational record consequences.</w:t>
            </w:r>
          </w:p>
        </w:tc>
        <w:tc>
          <w:tcPr>
            <w:tcW w:type="dxa" w:w="5328"/>
            <w:shd w:fill="FFFFFF"/>
          </w:tcPr>
          <w:p>
            <w:r>
              <w:rPr>
                <w:b/>
                <w:color w:val="1F4E79"/>
                <w:sz w:val="18"/>
              </w:rPr>
              <w:t>Appeal rights</w:t>
              <w:br/>
            </w:r>
            <w:r>
              <w:rPr>
                <w:sz w:val="16"/>
              </w:rPr>
              <w:t>Students and families should be able to request explanation, correction of inaccurate data, and human reconsideration.</w:t>
            </w:r>
          </w:p>
        </w:tc>
      </w:tr>
      <w:tr>
        <w:tc>
          <w:tcPr>
            <w:tcW w:type="dxa" w:w="5328"/>
            <w:shd w:fill="FFFFFF"/>
          </w:tcPr>
          <w:p>
            <w:r>
              <w:rPr>
                <w:b/>
                <w:color w:val="1F4E79"/>
                <w:sz w:val="18"/>
              </w:rPr>
              <w:t>Student data protections</w:t>
              <w:br/>
            </w:r>
            <w:r>
              <w:rPr>
                <w:sz w:val="16"/>
              </w:rPr>
              <w:t>Student data should not be sold, used for unrelated advertising, or used for secondary model training without clear legal and district authorization.</w:t>
            </w:r>
          </w:p>
        </w:tc>
        <w:tc>
          <w:tcPr>
            <w:tcW w:type="dxa" w:w="5328"/>
            <w:shd w:fill="FFFFFF"/>
          </w:tcPr>
          <w:p>
            <w:r>
              <w:rPr>
                <w:b/>
                <w:color w:val="1F4E79"/>
                <w:sz w:val="18"/>
              </w:rPr>
              <w:t>Annual transparency reports</w:t>
              <w:br/>
            </w:r>
            <w:r>
              <w:rPr>
                <w:sz w:val="16"/>
              </w:rPr>
              <w:t>Districts should summarize AI tools, purposes, high-impact uses, complaints, appeals, vendor changes, and policy updates annually.</w:t>
            </w:r>
          </w:p>
        </w:tc>
      </w:tr>
      <w:tr>
        <w:tc>
          <w:tcPr>
            <w:tcW w:type="dxa" w:w="5328"/>
            <w:shd w:fill="FFFFFF"/>
          </w:tcPr>
          <w:p>
            <w:r>
              <w:rPr>
                <w:b/>
                <w:color w:val="1F4E79"/>
                <w:sz w:val="18"/>
              </w:rPr>
              <w:t>Vendor disclosure</w:t>
              <w:br/>
            </w:r>
            <w:r>
              <w:rPr>
                <w:sz w:val="16"/>
              </w:rPr>
              <w:t>AI vendor contracts should clearly describe data collection, retention, deletion, training, security, and auditability terms.</w:t>
            </w:r>
          </w:p>
        </w:tc>
        <w:tc>
          <w:tcPr>
            <w:tcW w:type="dxa" w:w="5328"/>
            <w:shd w:fill="FFFFFF"/>
          </w:tcPr>
          <w:p>
            <w:r>
              <w:rPr>
                <w:b/>
                <w:color w:val="1F4E79"/>
                <w:sz w:val="18"/>
              </w:rPr>
              <w:t>Student voice</w:t>
              <w:br/>
            </w:r>
            <w:r>
              <w:rPr>
                <w:sz w:val="16"/>
              </w:rPr>
              <w:t>Students should be included in AI governance conversations because they are directly affected by these systems.</w:t>
            </w:r>
          </w:p>
        </w:tc>
      </w:tr>
    </w:tbl>
    <w:p>
      <w:r>
        <w:rPr>
          <w:b/>
          <w:color w:val="1F4E79"/>
          <w:sz w:val="17"/>
        </w:rPr>
        <w:t>HOW PEOPLE CAN HELP</w:t>
      </w:r>
    </w:p>
    <w:p>
      <w:pPr>
        <w:pStyle w:val="ListBullet"/>
        <w:ind w:left="288"/>
      </w:pPr>
      <w:r>
        <w:rPr>
          <w:sz w:val="17"/>
        </w:rPr>
        <w:t>Students can become state ambassadors, district advocates, research volunteers, policy volunteers, or communications volunteers.</w:t>
      </w:r>
    </w:p>
    <w:p>
      <w:pPr>
        <w:pStyle w:val="ListBullet"/>
        <w:ind w:left="288"/>
      </w:pPr>
      <w:r>
        <w:rPr>
          <w:sz w:val="17"/>
        </w:rPr>
        <w:t>Parents can ask districts and school boards clear questions about AI use, student data, and human review.</w:t>
      </w:r>
    </w:p>
    <w:p>
      <w:pPr>
        <w:pStyle w:val="ListBullet"/>
        <w:ind w:left="288"/>
      </w:pPr>
      <w:r>
        <w:rPr>
          <w:sz w:val="17"/>
        </w:rPr>
        <w:t>Advisors can review policy materials, connect the coalition with civic organizations, or help refine model legislation.</w:t>
      </w:r>
    </w:p>
    <w:p>
      <w:r>
        <w:rPr>
          <w:b/>
          <w:color w:val="1F4E79"/>
          <w:sz w:val="17"/>
        </w:rPr>
        <w:t>JOIN OR CONTACT</w:t>
      </w:r>
    </w:p>
    <w:p>
      <w:r>
        <w:rPr>
          <w:b/>
        </w:rPr>
        <w:t xml:space="preserve">Join form: </w:t>
      </w:r>
      <w:hyperlink r:id="rId9">
        <w:r>
          <w:rPr>
            <w:color w:val="1F4E79"/>
            <w:u w:val="single"/>
          </w:rPr>
          <w:t>https://forms.gle/fhhreQ1nHUoaTuw86</w:t>
        </w:r>
      </w:hyperlink>
    </w:p>
    <w:p>
      <w:r>
        <w:rPr>
          <w:b/>
        </w:rPr>
        <w:t xml:space="preserve">Contact: </w:t>
      </w:r>
      <w:r>
        <w:t>ronysbrand@gmail.com</w:t>
      </w:r>
    </w:p>
    <w:sectPr w:rsidR="00FC693F" w:rsidRPr="0006063C" w:rsidSect="00034616">
      <w:footerReference w:type="default" r:id="rId10"/>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K-12 AI Transparency Index | Students for K-12 AI Transparency | ronysbrand@gmail.com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forms.gle/fhhreQ1nHUoaTuw86"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