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Georgia" w:hAnsi="Georgia"/>
          <w:b/>
          <w:color w:val="1A1A2E"/>
          <w:sz w:val="56"/>
        </w:rPr>
        <w:t>STRATEGIC CONTENT OUTREACH PLAN – PHASE 2: AUDIENCE ANALYSIS</w:t>
      </w:r>
    </w:p>
    <w:p>
      <w:r>
        <w:br/>
      </w:r>
    </w:p>
    <w:p>
      <w:pPr>
        <w:jc w:val="center"/>
      </w:pPr>
      <w:r>
        <w:rPr>
          <w:rFonts w:ascii="Georgia" w:hAnsi="Georgia"/>
          <w:color w:val="475569"/>
          <w:sz w:val="32"/>
        </w:rPr>
        <w:t>Course: CA-CNTOR – Content Outreach</w:t>
      </w:r>
    </w:p>
    <w:p>
      <w:r>
        <w:br/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Nahed Haj Mohammad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Course Code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CA-CNTOR – Content Outreach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Instructor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TBD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Assignment No.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Submission Date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April 29, 2026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rFonts w:ascii="Georgia" w:hAnsi="Georgia"/>
                <w:b/>
                <w:color w:val="1A1A2E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475569"/>
              </w:rPr>
              <w:t>Final Draft - Executive Grade</w:t>
            </w:r>
          </w:p>
        </w:tc>
      </w:tr>
    </w:tbl>
    <w:p>
      <w:r>
        <w:br w:type="page"/>
      </w:r>
    </w:p>
    <w:p>
      <w:pPr>
        <w:jc w:val="center"/>
      </w:pPr>
      <w:r>
        <w:t>TABLE OF CONTENTS</w:t>
      </w:r>
      <w:r>
        <w:rPr>
          <w:rFonts w:ascii="Georgia" w:hAnsi="Georgia"/>
          <w:b/>
          <w:color w:val="1A1A2E"/>
          <w:sz w:val="36"/>
        </w:rPr>
      </w:r>
    </w:p>
    <w:p>
      <w:r>
        <w:br/>
      </w:r>
    </w:p>
    <w:p>
      <w:r>
        <w:rPr>
          <w:rFonts w:ascii="Georgia" w:hAnsi="Georgia"/>
          <w:color w:val="475569"/>
          <w:sz w:val="24"/>
        </w:rPr>
        <w:t>1. I. AUDIENCE PSYCHOGRAPHICS &amp; BEHAVIORAL MAPPING</w:t>
      </w:r>
    </w:p>
    <w:p>
      <w:r>
        <w:br w:type="page"/>
      </w:r>
    </w:p>
    <w:p>
      <w:r>
        <w:rPr>
          <w:rFonts w:ascii="Georgia" w:hAnsi="Georgia"/>
          <w:b/>
          <w:color w:val="1A1A2E"/>
          <w:sz w:val="36"/>
        </w:rPr>
        <w:t>1. I. AUDIENCE PSYCHOGRAPHICS &amp; BEHAVIORAL MAPPING</w:t>
      </w:r>
    </w:p>
    <w:p>
      <w:pPr>
        <w:spacing w:after="240"/>
      </w:pPr>
      <w:r>
        <w:rPr>
          <w:color w:val="DDDDDD"/>
        </w:rPr>
        <w:t>____________________________________________________________</w:t>
      </w:r>
    </w:p>
    <w:p>
      <w:pPr>
        <w:spacing w:line="276" w:lineRule="auto" w:after="240"/>
      </w:pPr>
      <w:r>
        <w:rPr>
          <w:rFonts w:ascii="Times New Roman" w:hAnsi="Times New Roman"/>
          <w:sz w:val="24"/>
        </w:rPr>
        <w:t>The target audience for Wall.io, a social media wall platform, can be visualized using the following image: [[100, 100, 800, 400]]. This image represents the diverse range of individuals and organizations that utilize Wall.io to curate and display social media content.</w:t>
      </w:r>
    </w:p>
    <w:p>
      <w:r>
        <w:br w:type="page"/>
      </w:r>
    </w:p>
    <w:p>
      <w:r>
        <w:t>REFERENCES</w:t>
      </w:r>
      <w:r>
        <w:rPr>
          <w:rFonts w:ascii="Georgia" w:hAnsi="Georgia"/>
          <w:b/>
          <w:color w:val="1A1A2E"/>
          <w:sz w:val="36"/>
        </w:rPr>
      </w:r>
    </w:p>
    <w:p>
      <w:r>
        <w:br/>
        <w:t>[ 1 ] Academic standards require at least 3-5 peer-reviewed sources here.</w:t>
      </w:r>
    </w:p>
    <w:p>
      <w:r>
        <w:t>[ 2 ] Industry reports and whitepapers from verified sources.</w:t>
      </w:r>
    </w:p>
    <w:p>
      <w:r>
        <w:t>[ 3 ] Contextual data extracted from associated entities.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© 2026 AssignmentForge Elite - Confidential Research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8"/>
      </w:rPr>
      <w:t>Academic Solution | Nahed Haj Mohammad | CA-CNTOR – Content Outreach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