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B85D2E"/>
          <w:spacing w:val="80"/>
          <w:sz w:val="20"/>
          <w:szCs w:val="20"/>
        </w:rPr>
        <w:t xml:space="preserve">FEASIBILITY BRIEF</w:t>
      </w:r>
    </w:p>
    <w:p>
      <w:pPr>
        <w:spacing w:after="100"/>
      </w:pPr>
      <w:r>
        <w:rPr>
          <w:b/>
          <w:bCs/>
          <w:color w:val="1A1A1A"/>
          <w:sz w:val="56"/>
          <w:szCs w:val="56"/>
        </w:rPr>
        <w:t xml:space="preserve">Persuasion in Networked Echo Chambers</w:t>
      </w:r>
    </w:p>
    <w:p>
      <w:pPr>
        <w:spacing w:after="240"/>
      </w:pPr>
      <w:r>
        <w:rPr>
          <w:i/>
          <w:iCs/>
          <w:color w:val="595959"/>
          <w:sz w:val="26"/>
          <w:szCs w:val="26"/>
        </w:rPr>
        <w:t xml:space="preserve">PINN-Calibrated Agentic Audiences for Validated Persuasion-Lever Discovery and Inoculation Design</w:t>
      </w:r>
    </w:p>
    <w:p>
      <w:pPr>
        <w:pBdr>
          <w:bottom w:val="single" w:color="B85D2E" w:sz="8" w:space="1"/>
        </w:pBdr>
        <w:spacing w:after="18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sz w:val="16"/>
                <w:szCs w:val="16"/>
              </w:rPr>
              <w:t xml:space="preserve">VERDICT</w:t>
            </w:r>
          </w:p>
        </w:tc>
        <w:tc>
          <w:tcPr>
            <w:tcW w:type="dxa" w:w="252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sz w:val="16"/>
                <w:szCs w:val="16"/>
              </w:rPr>
              <w:t xml:space="preserve">EFFORT</w:t>
            </w:r>
          </w:p>
        </w:tc>
        <w:tc>
          <w:tcPr>
            <w:tcW w:type="dxa" w:w="252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sz w:val="16"/>
                <w:szCs w:val="16"/>
              </w:rPr>
              <w:t xml:space="preserve">HEADCOUNT</w:t>
            </w:r>
          </w:p>
        </w:tc>
        <w:tc>
          <w:tcPr>
            <w:tcW w:type="dxa" w:w="252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sz w:val="16"/>
                <w:szCs w:val="16"/>
              </w:rPr>
              <w:t xml:space="preserve">COMPUTE</w:t>
            </w:r>
          </w:p>
        </w:tc>
      </w:tr>
      <w:tr>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80"/>
              <w:jc w:val="left"/>
            </w:pPr>
            <w:r>
              <w:rPr>
                <w:b/>
                <w:bCs/>
                <w:sz w:val="22"/>
                <w:szCs w:val="22"/>
              </w:rPr>
              <w:t xml:space="preserve">Feasible · Novel</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80"/>
              <w:jc w:val="left"/>
            </w:pPr>
            <w:r>
              <w:rPr>
                <w:b w:val="false"/>
                <w:bCs w:val="false"/>
                <w:sz w:val="22"/>
                <w:szCs w:val="22"/>
              </w:rPr>
              <w:t xml:space="preserve">12–18 months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80"/>
              <w:jc w:val="left"/>
            </w:pPr>
            <w:r>
              <w:rPr>
                <w:b w:val="false"/>
                <w:bCs w:val="false"/>
                <w:sz w:val="22"/>
                <w:szCs w:val="22"/>
              </w:rPr>
              <w:t xml:space="preserve">3–5 FTE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line="280"/>
              <w:jc w:val="left"/>
            </w:pPr>
            <w:r>
              <w:rPr>
                <w:b w:val="false"/>
                <w:bCs w:val="false"/>
                <w:sz w:val="22"/>
                <w:szCs w:val="22"/>
              </w:rPr>
              <w:t xml:space="preserve">≈ $35k inference</w:t>
            </w:r>
          </w:p>
        </w:tc>
      </w:tr>
    </w:tbl>
    <w:p>
      <w:pPr>
        <w:spacing w:after="120"/>
      </w:pPr>
      <w:r>
        <w:t xml:space="preserve"/>
      </w:r>
    </w:p>
    <w:p>
      <w:pPr>
        <w:pStyle w:val="Heading2"/>
      </w:pPr>
      <w:r>
        <w:t xml:space="preserve">Executive summary</w:t>
      </w:r>
    </w:p>
    <w:p>
      <w:pPr>
        <w:spacing w:after="120" w:line="320"/>
      </w:pPr>
      <w:r>
        <w:rPr>
          <w:b w:val="false"/>
          <w:bCs w:val="false"/>
          <w:i w:val="false"/>
          <w:iCs w:val="false"/>
        </w:rPr>
        <w:t xml:space="preserve">We propose a four-stage research program. </w:t>
      </w:r>
      <w:r>
        <w:rPr>
          <w:b w:val="false"/>
          <w:bCs w:val="false"/>
          <w:i w:val="false"/>
          <w:iCs w:val="false"/>
        </w:rPr>
        <w:t xml:space="preserve">First, </w:t>
      </w:r>
      <w:r>
        <w:rPr>
          <w:b w:val="false"/>
          <w:bCs w:val="false"/>
          <w:i w:val="false"/>
          <w:iCs w:val="false"/>
        </w:rPr>
        <w:t xml:space="preserve">we fit a physics-informed neural network (PINN) to longitudinal echo-chamber data — Reddit, Bluesky, Telegram — extracting interpretable coefficients (stubbornness, confidence radius, diffusion rate) that have direct meaning in the opinion-dynamics literature. </w:t>
      </w:r>
      <w:r>
        <w:rPr>
          <w:b w:val="false"/>
          <w:bCs w:val="false"/>
          <w:i w:val="false"/>
          <w:iCs w:val="false"/>
        </w:rPr>
        <w:t xml:space="preserve">Second, </w:t>
      </w:r>
      <w:r>
        <w:rPr>
          <w:b w:val="false"/>
          <w:bCs w:val="false"/>
          <w:i w:val="false"/>
          <w:iCs w:val="false"/>
        </w:rPr>
        <w:t xml:space="preserve">we build an LLM-driven agentic audience and tune it until its emergent coefficients fall within real-data confidence intervals on five held-out behaviors. </w:t>
      </w:r>
      <w:r>
        <w:rPr>
          <w:b w:val="false"/>
          <w:bCs w:val="false"/>
          <w:i w:val="false"/>
          <w:iCs w:val="false"/>
        </w:rPr>
        <w:t xml:space="preserve">Third, </w:t>
      </w:r>
      <w:r>
        <w:rPr>
          <w:b w:val="false"/>
          <w:bCs w:val="false"/>
          <w:i w:val="false"/>
          <w:iCs w:val="false"/>
        </w:rPr>
        <w:t xml:space="preserve">we replicate the Hackenburg et al. (</w:t>
      </w:r>
      <w:r>
        <w:rPr>
          <w:b w:val="false"/>
          <w:bCs w:val="false"/>
          <w:i/>
          <w:iCs/>
        </w:rPr>
        <w:t xml:space="preserve">Science</w:t>
      </w:r>
      <w:r>
        <w:rPr>
          <w:b w:val="false"/>
          <w:bCs w:val="false"/>
          <w:i w:val="false"/>
          <w:iCs w:val="false"/>
        </w:rPr>
        <w:t xml:space="preserve">, 2025) persuasion-lever sweep </w:t>
      </w:r>
      <w:r>
        <w:rPr>
          <w:b w:val="false"/>
          <w:bCs w:val="false"/>
          <w:i/>
          <w:iCs/>
        </w:rPr>
        <w:t xml:space="preserve">inside the network</w:t>
      </w:r>
      <w:r>
        <w:rPr>
          <w:b w:val="false"/>
          <w:bCs w:val="false"/>
          <w:i w:val="false"/>
          <w:iCs w:val="false"/>
        </w:rPr>
        <w:t xml:space="preserve"> rather than in the dyad — measuring how prompting and post-training tactics propagate through an echo chamber. </w:t>
      </w:r>
      <w:r>
        <w:rPr>
          <w:b w:val="false"/>
          <w:bCs w:val="false"/>
          <w:i w:val="false"/>
          <w:iCs w:val="false"/>
        </w:rPr>
        <w:t xml:space="preserve">Fourth, </w:t>
      </w:r>
      <w:r>
        <w:rPr>
          <w:b w:val="false"/>
          <w:bCs w:val="false"/>
          <w:i w:val="false"/>
          <w:iCs w:val="false"/>
        </w:rPr>
        <w:t xml:space="preserve">for each effective lever we design and measure the matching inoculation, mirroring the Twister/Detector/Defender/Assessor architecture in Volkova et al.'s BRIES (2025).</w:t>
      </w:r>
    </w:p>
    <w:p>
      <w:pPr>
        <w:spacing w:after="120" w:line="320"/>
      </w:pPr>
      <w:r>
        <w:rPr>
          <w:b/>
          <w:bCs/>
          <w:i w:val="false"/>
          <w:iCs w:val="false"/>
          <w:color w:val="B85D2E"/>
        </w:rPr>
        <w:t xml:space="preserve">What's novel: </w:t>
      </w:r>
      <w:r>
        <w:rPr>
          <w:b w:val="false"/>
          <w:bCs w:val="false"/>
          <w:i w:val="false"/>
          <w:iCs w:val="false"/>
        </w:rPr>
        <w:t xml:space="preserve">no one has used physics-informed coefficients as the validation gate for LLM agentic audiences. Volkova has publicly said population-level validation is </w:t>
      </w:r>
      <w:r>
        <w:rPr>
          <w:b w:val="false"/>
          <w:bCs w:val="false"/>
          <w:i/>
          <w:iCs/>
        </w:rPr>
        <w:t xml:space="preserve">“totally understudied.” </w:t>
      </w:r>
      <w:r>
        <w:rPr>
          <w:b w:val="false"/>
          <w:bCs w:val="false"/>
          <w:i w:val="false"/>
          <w:iCs w:val="false"/>
        </w:rPr>
        <w:t xml:space="preserve">This program plugs directly into that gap.</w:t>
      </w:r>
    </w:p>
    <w:p>
      <w:pPr>
        <w:spacing w:after="120" w:line="320"/>
      </w:pPr>
      <w:r>
        <w:rPr>
          <w:b/>
          <w:bCs/>
          <w:i w:val="false"/>
          <w:iCs w:val="false"/>
          <w:color w:val="B85D2E"/>
        </w:rPr>
        <w:t xml:space="preserve">What's de-risked: </w:t>
      </w:r>
      <w:r>
        <w:rPr>
          <w:b w:val="false"/>
          <w:bCs w:val="false"/>
          <w:i w:val="false"/>
          <w:iCs w:val="false"/>
        </w:rPr>
        <w:t xml:space="preserve">every component has a working ancestor. SINN (Okawa &amp; Iwata, KDD 2022) and OPINN (2026) for the PINN side. Generative Agents (Park 2023), SALM, ElecTwit for the agent side. BRIES (Volkova 2025) for the persuasion-attack architecture. Hackenburg (Science, 2025) for the experimental design template. The contribution is the way we connect them.</w:t>
      </w:r>
    </w:p>
    <w:p>
      <w:pPr>
        <w:spacing w:after="120"/>
      </w:pPr>
      <w:r>
        <w:t xml:space="preserve"/>
      </w:r>
    </w:p>
    <w:p>
      <w:pPr>
        <w:pStyle w:val="Heading2"/>
      </w:pPr>
      <w:r>
        <w:t xml:space="preserve">What we learned from the key papers</w:t>
      </w:r>
    </w:p>
    <w:p>
      <w:pPr>
        <w:pStyle w:val="Heading3"/>
      </w:pPr>
      <w:r>
        <w:t xml:space="preserve">Hackenburg et al., Science (December 2025) — “The levers of political persuasion with conversational AI”</w:t>
      </w:r>
    </w:p>
    <w:p>
      <w:pPr>
        <w:spacing w:after="120" w:line="320"/>
      </w:pPr>
      <w:r>
        <w:rPr>
          <w:b w:val="false"/>
          <w:bCs w:val="false"/>
          <w:i w:val="false"/>
          <w:iCs w:val="false"/>
        </w:rPr>
        <w:t xml:space="preserve">The largest-ever empirical map of AI persuasion: 76,977 participants, 19 large language models, 707 political issues, 466,769 fact-checked claims. The findings flip several common assumptions:</w:t>
      </w:r>
    </w:p>
    <w:p>
      <w:pPr>
        <w:pStyle w:val="ListParagraph"/>
        <w:numPr>
          <w:ilvl w:val="0"/>
          <w:numId w:val="2"/>
        </w:numPr>
        <w:spacing w:after="80" w:line="300"/>
      </w:pPr>
      <w:r>
        <w:rPr>
          <w:b/>
          <w:bCs/>
          <w:i w:val="false"/>
          <w:iCs w:val="false"/>
        </w:rPr>
        <w:t xml:space="preserve">Post-training is the dominant lever: </w:t>
      </w:r>
      <w:r>
        <w:rPr>
          <w:b w:val="false"/>
          <w:bCs w:val="false"/>
          <w:i w:val="false"/>
          <w:iCs w:val="false"/>
        </w:rPr>
        <w:t xml:space="preserve">specialized fine-tuning for persuasion boosted persuasiveness by up to </w:t>
      </w:r>
      <w:r>
        <w:rPr>
          <w:b/>
          <w:bCs/>
          <w:i w:val="false"/>
          <w:iCs w:val="false"/>
          <w:color w:val="B85D2E"/>
        </w:rPr>
        <w:t xml:space="preserve">+51%</w:t>
      </w:r>
      <w:r>
        <w:rPr>
          <w:b w:val="false"/>
          <w:bCs w:val="false"/>
          <w:i w:val="false"/>
          <w:iCs w:val="false"/>
        </w:rPr>
        <w:t xml:space="preserve">. Reward modeling can make a small 8B-parameter model rival frontier-class systems on persuasion.</w:t>
      </w:r>
    </w:p>
    <w:p>
      <w:pPr>
        <w:pStyle w:val="ListParagraph"/>
        <w:numPr>
          <w:ilvl w:val="0"/>
          <w:numId w:val="2"/>
        </w:numPr>
        <w:spacing w:after="80" w:line="300"/>
      </w:pPr>
      <w:r>
        <w:rPr>
          <w:b/>
          <w:bCs/>
          <w:i w:val="false"/>
          <w:iCs w:val="false"/>
        </w:rPr>
        <w:t xml:space="preserve">Prompting is the second lever: </w:t>
      </w:r>
      <w:r>
        <w:rPr>
          <w:b w:val="false"/>
          <w:bCs w:val="false"/>
          <w:i w:val="false"/>
          <w:iCs w:val="false"/>
        </w:rPr>
        <w:t xml:space="preserve">specific rhetorical strategies — especially </w:t>
      </w:r>
      <w:r>
        <w:rPr>
          <w:b w:val="false"/>
          <w:bCs w:val="false"/>
          <w:i/>
          <w:iCs/>
        </w:rPr>
        <w:t xml:space="preserve">information-dense argumentation</w:t>
      </w:r>
      <w:r>
        <w:rPr>
          <w:b w:val="false"/>
          <w:bCs w:val="false"/>
          <w:i w:val="false"/>
          <w:iCs w:val="false"/>
        </w:rPr>
        <w:t xml:space="preserve"> — added up to </w:t>
      </w:r>
      <w:r>
        <w:rPr>
          <w:b/>
          <w:bCs/>
          <w:i w:val="false"/>
          <w:iCs w:val="false"/>
          <w:color w:val="B85D2E"/>
        </w:rPr>
        <w:t xml:space="preserve">+27%</w:t>
      </w:r>
      <w:r>
        <w:rPr>
          <w:b w:val="false"/>
          <w:bCs w:val="false"/>
          <w:i w:val="false"/>
          <w:iCs w:val="false"/>
        </w:rPr>
        <w:t xml:space="preserve"> on top of post-training.</w:t>
      </w:r>
    </w:p>
    <w:p>
      <w:pPr>
        <w:pStyle w:val="ListParagraph"/>
        <w:numPr>
          <w:ilvl w:val="0"/>
          <w:numId w:val="2"/>
        </w:numPr>
        <w:spacing w:after="80" w:line="300"/>
      </w:pPr>
      <w:r>
        <w:rPr>
          <w:b/>
          <w:bCs/>
          <w:i w:val="false"/>
          <w:iCs w:val="false"/>
        </w:rPr>
        <w:t xml:space="preserve">Personalization barely matters: </w:t>
      </w:r>
      <w:r>
        <w:rPr>
          <w:b w:val="false"/>
          <w:bCs w:val="false"/>
          <w:i w:val="false"/>
          <w:iCs w:val="false"/>
        </w:rPr>
        <w:t xml:space="preserve">tailoring arguments to user demographics never exceeded </w:t>
      </w:r>
      <w:r>
        <w:rPr>
          <w:b/>
          <w:bCs/>
          <w:i w:val="false"/>
          <w:iCs w:val="false"/>
          <w:color w:val="B85D2E"/>
        </w:rPr>
        <w:t xml:space="preserve">1 percentage point</w:t>
      </w:r>
      <w:r>
        <w:rPr>
          <w:b w:val="false"/>
          <w:bCs w:val="false"/>
          <w:i w:val="false"/>
          <w:iCs w:val="false"/>
        </w:rPr>
        <w:t xml:space="preserve">. The hyper-personalized manipulation scenario is largely a phantom.</w:t>
      </w:r>
    </w:p>
    <w:p>
      <w:pPr>
        <w:pStyle w:val="ListParagraph"/>
        <w:numPr>
          <w:ilvl w:val="0"/>
          <w:numId w:val="2"/>
        </w:numPr>
        <w:spacing w:after="80" w:line="300"/>
      </w:pPr>
      <w:r>
        <w:rPr>
          <w:b/>
          <w:bCs/>
          <w:i w:val="false"/>
          <w:iCs w:val="false"/>
        </w:rPr>
        <w:t xml:space="preserve">Model scale matters less than expected: </w:t>
      </w:r>
      <w:r>
        <w:rPr>
          <w:b w:val="false"/>
          <w:bCs w:val="false"/>
          <w:i w:val="false"/>
          <w:iCs w:val="false"/>
        </w:rPr>
        <w:t xml:space="preserve">larger models were modestly more persuasive but the relationship was inconsistent among frontier systems.</w:t>
      </w:r>
    </w:p>
    <w:p>
      <w:pPr>
        <w:pStyle w:val="ListParagraph"/>
        <w:numPr>
          <w:ilvl w:val="0"/>
          <w:numId w:val="2"/>
        </w:numPr>
        <w:spacing w:after="80" w:line="300"/>
      </w:pPr>
      <w:r>
        <w:rPr>
          <w:b/>
          <w:bCs/>
          <w:i w:val="false"/>
          <w:iCs w:val="false"/>
        </w:rPr>
        <w:t xml:space="preserve">There is a real persuasion–accuracy tradeoff: </w:t>
      </w:r>
      <w:r>
        <w:rPr>
          <w:b w:val="false"/>
          <w:bCs w:val="false"/>
          <w:i w:val="false"/>
          <w:iCs w:val="false"/>
        </w:rPr>
        <w:t xml:space="preserve">the same techniques that boosted persuasion </w:t>
      </w:r>
      <w:r>
        <w:rPr>
          <w:b w:val="false"/>
          <w:bCs w:val="false"/>
          <w:i/>
          <w:iCs/>
        </w:rPr>
        <w:t xml:space="preserve">systematically reduced</w:t>
      </w:r>
      <w:r>
        <w:rPr>
          <w:b w:val="false"/>
          <w:bCs w:val="false"/>
          <w:i w:val="false"/>
          <w:iCs w:val="false"/>
        </w:rPr>
        <w:t xml:space="preserve"> factual accuracy. Information-dense models produced more confidently-stated false claims.</w:t>
      </w:r>
    </w:p>
    <w:p>
      <w:pPr>
        <w:spacing w:after="120" w:line="320"/>
      </w:pPr>
      <w:r>
        <w:rPr>
          <w:b/>
          <w:bCs/>
          <w:i w:val="false"/>
          <w:iCs w:val="false"/>
          <w:color w:val="B85D2E"/>
        </w:rPr>
        <w:t xml:space="preserve">The critical limitation for our purposes: </w:t>
      </w:r>
      <w:r>
        <w:rPr>
          <w:b w:val="false"/>
          <w:bCs w:val="false"/>
          <w:i w:val="false"/>
          <w:iCs w:val="false"/>
        </w:rPr>
        <w:t xml:space="preserve">every measurement was 1-on-1, AI-to-human, on a single issue. The paper never tests what happens when persuasion propagates through a networked echo chamber. That networked, social-feedback case is wide open — and that is exactly where our work goes.</w:t>
      </w:r>
    </w:p>
    <w:p>
      <w:pPr>
        <w:spacing w:after="120"/>
      </w:pPr>
      <w:r>
        <w:t xml:space="preserve"/>
      </w:r>
    </w:p>
    <w:p>
      <w:pPr>
        <w:pStyle w:val="Heading3"/>
      </w:pPr>
      <w:r>
        <w:t xml:space="preserve">Volkova lineage — what your slides show, plus what's most recent</w:t>
      </w:r>
    </w:p>
    <w:p>
      <w:pPr>
        <w:spacing w:after="120" w:line="320"/>
      </w:pPr>
      <w:r>
        <w:rPr>
          <w:b w:val="false"/>
          <w:bCs w:val="false"/>
          <w:i w:val="false"/>
          <w:iCs w:val="false"/>
        </w:rPr>
        <w:t xml:space="preserve">Dr. Svitlana Volkova (Chief of AI, Aptima; previously PNNL) is the field leader for this exact problem space. The slides you photographed cover three pillars of her work:</w:t>
      </w:r>
    </w:p>
    <w:p>
      <w:pPr>
        <w:pStyle w:val="ListParagraph"/>
        <w:numPr>
          <w:ilvl w:val="0"/>
          <w:numId w:val="2"/>
        </w:numPr>
        <w:spacing w:after="80" w:line="300"/>
      </w:pPr>
      <w:r>
        <w:rPr>
          <w:b/>
          <w:bCs/>
          <w:i w:val="false"/>
          <w:iCs w:val="false"/>
        </w:rPr>
        <w:t xml:space="preserve">Cognitive Warfare Publications</w:t>
      </w:r>
      <w:r>
        <w:rPr>
          <w:b w:val="false"/>
          <w:bCs w:val="false"/>
          <w:i w:val="false"/>
          <w:iCs w:val="false"/>
        </w:rPr>
        <w:t xml:space="preserve"> — detection, characterization, and defense against influence operations (e.g., Volkova, Glenski, Ayton et al., </w:t>
      </w:r>
      <w:r>
        <w:rPr>
          <w:b w:val="false"/>
          <w:bCs w:val="false"/>
          <w:i/>
          <w:iCs/>
        </w:rPr>
        <w:t xml:space="preserve">Journal of Information Warfare</w:t>
      </w:r>
      <w:r>
        <w:rPr>
          <w:b w:val="false"/>
          <w:bCs w:val="false"/>
          <w:i w:val="false"/>
          <w:iCs w:val="false"/>
        </w:rPr>
        <w:t xml:space="preserve">, 2021); fact-checking and deceptive-narrative classification (Rashkin, Choi, Jang, Choi, Volkova, EMNLP 2017).</w:t>
      </w:r>
    </w:p>
    <w:p>
      <w:pPr>
        <w:pStyle w:val="ListParagraph"/>
        <w:numPr>
          <w:ilvl w:val="0"/>
          <w:numId w:val="2"/>
        </w:numPr>
        <w:spacing w:after="80" w:line="300"/>
      </w:pPr>
      <w:r>
        <w:rPr>
          <w:b/>
          <w:bCs/>
          <w:i w:val="false"/>
          <w:iCs w:val="false"/>
        </w:rPr>
        <w:t xml:space="preserve">Compound AI for Training &amp; Readiness</w:t>
      </w:r>
      <w:r>
        <w:rPr>
          <w:b w:val="false"/>
          <w:bCs w:val="false"/>
          <w:i w:val="false"/>
          <w:iCs w:val="false"/>
        </w:rPr>
        <w:t xml:space="preserve"> — generative AI for synthetic training data, ecosystems of agents and tools, foundation models of human behavior in simulated virtual worlds (CMOT 2023, I/ITSEC 2024-2025).</w:t>
      </w:r>
    </w:p>
    <w:p>
      <w:pPr>
        <w:pStyle w:val="ListParagraph"/>
        <w:numPr>
          <w:ilvl w:val="0"/>
          <w:numId w:val="2"/>
        </w:numPr>
        <w:spacing w:after="80" w:line="300"/>
      </w:pPr>
      <w:r>
        <w:rPr>
          <w:b/>
          <w:bCs/>
          <w:i w:val="false"/>
          <w:iCs w:val="false"/>
        </w:rPr>
        <w:t xml:space="preserve">Human-AI Teaming</w:t>
      </w:r>
      <w:r>
        <w:rPr>
          <w:b w:val="false"/>
          <w:bCs w:val="false"/>
          <w:i w:val="false"/>
          <w:iCs w:val="false"/>
        </w:rPr>
        <w:t xml:space="preserve"> — VirTLab and VirTLab-Eval for evaluating human-AI team dynamics through digital-twin interactions; BioSage human-agent collaboration platform; Big Five personality + AI capability effects in LLM-simulated negotiation dialogues (Cohen et al., KDD Workshop 2025).</w:t>
      </w:r>
    </w:p>
    <w:p>
      <w:pPr>
        <w:spacing w:after="120" w:line="320"/>
      </w:pPr>
      <w:r>
        <w:rPr>
          <w:b/>
          <w:bCs/>
          <w:i w:val="false"/>
          <w:iCs w:val="false"/>
        </w:rPr>
        <w:t xml:space="preserve">The most important paper from her group for our purposes is </w:t>
      </w:r>
      <w:r>
        <w:rPr>
          <w:b/>
          <w:bCs/>
          <w:i w:val="false"/>
          <w:iCs w:val="false"/>
          <w:color w:val="B85D2E"/>
        </w:rPr>
        <w:t xml:space="preserve">BRIES</w:t>
      </w:r>
      <w:r>
        <w:rPr>
          <w:b w:val="false"/>
          <w:bCs w:val="false"/>
          <w:i w:val="false"/>
          <w:iCs w:val="false"/>
        </w:rPr>
        <w:t xml:space="preserve"> (Volkova et al., “Proactive Defense: Compound AI for Detecting Persuasion Attacks and Measuring Inoculation Effectiveness,” arXiv:2511.21749, November 2025). </w:t>
      </w:r>
      <w:r>
        <w:rPr>
          <w:b w:val="false"/>
          <w:bCs w:val="false"/>
          <w:i w:val="false"/>
          <w:iCs w:val="false"/>
        </w:rPr>
        <w:t xml:space="preserve">BRIES is a four-agent architecture: a </w:t>
      </w:r>
      <w:r>
        <w:rPr>
          <w:b/>
          <w:bCs/>
          <w:i w:val="false"/>
          <w:iCs w:val="false"/>
        </w:rPr>
        <w:t xml:space="preserve">Twister</w:t>
      </w:r>
      <w:r>
        <w:rPr>
          <w:b w:val="false"/>
          <w:bCs w:val="false"/>
          <w:i w:val="false"/>
          <w:iCs w:val="false"/>
        </w:rPr>
        <w:t xml:space="preserve"> generates adversarial persuasive content using SemEval-2023 Task 3 persuasion tactics; a </w:t>
      </w:r>
      <w:r>
        <w:rPr>
          <w:b/>
          <w:bCs/>
          <w:i w:val="false"/>
          <w:iCs w:val="false"/>
        </w:rPr>
        <w:t xml:space="preserve">Detector</w:t>
      </w:r>
      <w:r>
        <w:rPr>
          <w:b w:val="false"/>
          <w:bCs w:val="false"/>
          <w:i w:val="false"/>
          <w:iCs w:val="false"/>
        </w:rPr>
        <w:t xml:space="preserve"> identifies attack types; a </w:t>
      </w:r>
      <w:r>
        <w:rPr>
          <w:b/>
          <w:bCs/>
          <w:i w:val="false"/>
          <w:iCs w:val="false"/>
        </w:rPr>
        <w:t xml:space="preserve">Defender</w:t>
      </w:r>
      <w:r>
        <w:rPr>
          <w:b w:val="false"/>
          <w:bCs w:val="false"/>
          <w:i w:val="false"/>
          <w:iCs w:val="false"/>
        </w:rPr>
        <w:t xml:space="preserve"> creates resilient counter-content through inoculation; an </w:t>
      </w:r>
      <w:r>
        <w:rPr>
          <w:b/>
          <w:bCs/>
          <w:i w:val="false"/>
          <w:iCs w:val="false"/>
        </w:rPr>
        <w:t xml:space="preserve">Assessor</w:t>
      </w:r>
      <w:r>
        <w:rPr>
          <w:b w:val="false"/>
          <w:bCs w:val="false"/>
          <w:i w:val="false"/>
          <w:iCs w:val="false"/>
        </w:rPr>
        <w:t xml:space="preserve"> uses causal inference to evaluate inoculation effectiveness. The architecture is exactly the persuasion-attack/defense skeleton our program needs to mirror.</w:t>
      </w:r>
    </w:p>
    <w:p>
      <w:pPr>
        <w:spacing w:after="120" w:line="320"/>
      </w:pPr>
      <w:r>
        <w:rPr>
          <w:b/>
          <w:bCs/>
          <w:i w:val="false"/>
          <w:iCs w:val="false"/>
          <w:color w:val="B85D2E"/>
        </w:rPr>
        <w:t xml:space="preserve">What's missing in BRIES — and what we add: </w:t>
      </w:r>
      <w:r>
        <w:rPr>
          <w:b w:val="false"/>
          <w:bCs w:val="false"/>
          <w:i w:val="false"/>
          <w:iCs w:val="false"/>
        </w:rPr>
        <w:t xml:space="preserve">the audience inside BRIES is not population-level-calibrated against real diffusion behavior. In a March 2026 Military.com interview Volkova said directly that population-level digital-twin validation is </w:t>
      </w:r>
      <w:r>
        <w:rPr>
          <w:b w:val="false"/>
          <w:bCs w:val="false"/>
          <w:i/>
          <w:iCs/>
        </w:rPr>
        <w:t xml:space="preserve">“totally understudied,” </w:t>
      </w:r>
      <w:r>
        <w:rPr>
          <w:b w:val="false"/>
          <w:bCs w:val="false"/>
          <w:i w:val="false"/>
          <w:iCs w:val="false"/>
        </w:rPr>
        <w:t xml:space="preserve">and that current LLMs alone are </w:t>
      </w:r>
      <w:r>
        <w:rPr>
          <w:b w:val="false"/>
          <w:bCs w:val="false"/>
          <w:i/>
          <w:iCs/>
        </w:rPr>
        <w:t xml:space="preserve">“not sufficient to model human behavior.” </w:t>
      </w:r>
      <w:r>
        <w:rPr>
          <w:b w:val="false"/>
          <w:bCs w:val="false"/>
          <w:i w:val="false"/>
          <w:iCs w:val="false"/>
        </w:rPr>
        <w:t xml:space="preserve">Our PINN-coefficient calibration is the validation primitive that fills that gap. The program is, in effect, the missing audience layer for BRIES.</w:t>
      </w:r>
    </w:p>
    <w:p>
      <w:r>
        <w:br w:type="page"/>
      </w:r>
    </w:p>
    <w:p>
      <w:pPr>
        <w:pStyle w:val="Heading2"/>
      </w:pPr>
      <w:r>
        <w:t xml:space="preserve">Validation, metrics, data, and what the agents talk about</w:t>
      </w:r>
    </w:p>
    <w:p>
      <w:pPr>
        <w:spacing w:after="120" w:line="320"/>
      </w:pPr>
      <w:r>
        <w:rPr>
          <w:b w:val="false"/>
          <w:bCs w:val="false"/>
          <w:i w:val="false"/>
          <w:iCs w:val="false"/>
        </w:rPr>
        <w:t xml:space="preserve">This section answers the five operational questions: how validation works, what metrics we report, what real-world data we use, what the agents actually discuss, and how we measure persuasion happening to them and around them. Everything below is concrete enough to build against.</w:t>
      </w:r>
    </w:p>
    <w:p>
      <w:pPr>
        <w:pStyle w:val="Heading3"/>
      </w:pPr>
      <w:r>
        <w:t xml:space="preserve">A.  Validation works in three concentric layers</w:t>
      </w:r>
    </w:p>
    <w:p>
      <w:pPr>
        <w:spacing w:after="120" w:line="320"/>
      </w:pPr>
      <w:r>
        <w:rPr>
          <w:b w:val="false"/>
          <w:bCs w:val="false"/>
          <w:i w:val="false"/>
          <w:iCs w:val="false"/>
        </w:rPr>
        <w:t xml:space="preserve">An agentic simulation only earns the “calibrated” label if it clears all three layers. Each is more demanding than the last; together they make circular validation effectively impossible.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40"/>
        <w:gridCol w:w="3640"/>
      </w:tblGrid>
      <w:tr>
        <w:trPr>
          <w:tblHeader/>
        </w:trPr>
        <w:tc>
          <w:tcPr>
            <w:tcW w:type="dxa" w:w="6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color w:val="FFFFFF"/>
              </w:rPr>
              <w:t xml:space="preserve">L</w:t>
            </w:r>
          </w:p>
        </w:tc>
        <w:tc>
          <w:tcPr>
            <w:tcW w:type="dxa" w:w="22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Layer</w:t>
            </w:r>
          </w:p>
        </w:tc>
        <w:tc>
          <w:tcPr>
            <w:tcW w:type="dxa" w:w="364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What it does</w:t>
            </w:r>
          </w:p>
        </w:tc>
        <w:tc>
          <w:tcPr>
            <w:tcW w:type="dxa" w:w="364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Pass criterion (pre-registered)</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1</w:t>
            </w:r>
          </w:p>
        </w:tc>
        <w:tc>
          <w:tcPr>
            <w:tcW w:type="dxa" w:w="2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Coefficient match</w:t>
            </w:r>
          </w:p>
        </w:tc>
        <w:tc>
          <w:tcPr>
            <w:tcW w:type="dxa" w:w="364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Fit the PINN to real data (Stage A). Run the agentic simulation on the same training slab. Refit the PINN to the simulated data. Check whether the recovered coefficients land inside the real-data 95% CIs.</w:t>
            </w:r>
          </w:p>
        </w:tc>
        <w:tc>
          <w:tcPr>
            <w:tcW w:type="dxa" w:w="364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2-Wasserstein distance on per-user coefficient distributions; KS test on each marginal. Pass if 2-Wasserstein &lt; pre-registered threshold AND KS p &gt; 0.05 on at least two of three priors (FJ, HK, DCR).</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2</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Held-out behavioral match</w:t>
            </w:r>
          </w:p>
        </w:tc>
        <w:tc>
          <w:tcPr>
            <w:tcW w:type="dxa" w:w="3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Five behavioral gates that the calibration loss never directly scores. Tested on the held-out 20% test slab.</w:t>
            </w:r>
          </w:p>
        </w:tc>
        <w:tc>
          <w:tcPr>
            <w:tcW w:type="dxa" w:w="3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Cascade timing (KS on time-to-half-reach); drop-out rates after hostile reply (distribution match); per-user uᵢ(t) trajectories (normalized DTW distance); cross-topic transfer (coefficient-shift direction match); opinion-leader centrality (Spearman ρ ≥ 0.5 on top-k by attention).</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3</w:t>
            </w:r>
          </w:p>
        </w:tc>
        <w:tc>
          <w:tcPr>
            <w:tcW w:type="dxa" w:w="2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Ground-truth persuasion match</w:t>
            </w:r>
          </w:p>
        </w:tc>
        <w:tc>
          <w:tcPr>
            <w:tcW w:type="dxa" w:w="364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Use r/ChangeMyView's explicit Δ awards as a binary persuasion label. Initialize agents with real CMV original posts; replay actual arguments that did vs. did not earn a Δ; check whether the simulated agent “awards the delta” at the same rate humans did.</w:t>
            </w:r>
          </w:p>
        </w:tc>
        <w:tc>
          <w:tcPr>
            <w:tcW w:type="dxa" w:w="364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Per-topic-category Δ-award rate within ± 5 percentage points of human ground truth; AUC ≥ 0.70 on predicting human Δ-award from simulated agent's response. This is the killer test: it converts “is the sim believable?” into a binary classification problem with a known label.</w:t>
            </w:r>
          </w:p>
        </w:tc>
      </w:tr>
    </w:tbl>
    <w:p>
      <w:pPr>
        <w:spacing w:after="120"/>
      </w:pPr>
      <w:r>
        <w:t xml:space="preserve"/>
      </w:r>
    </w:p>
    <w:p>
      <w:pPr>
        <w:spacing w:after="120" w:line="320"/>
      </w:pPr>
      <w:r>
        <w:rPr>
          <w:b/>
          <w:bCs/>
          <w:i w:val="false"/>
          <w:iCs w:val="false"/>
        </w:rPr>
        <w:t xml:space="preserve">The third layer is the one that closes the loop. </w:t>
      </w:r>
      <w:r>
        <w:rPr>
          <w:b w:val="false"/>
          <w:bCs w:val="false"/>
          <w:i w:val="false"/>
          <w:iCs w:val="false"/>
        </w:rPr>
        <w:t xml:space="preserve">Without ChangeMyView, this work is one more LLM-agent simulation that </w:t>
      </w:r>
      <w:r>
        <w:rPr>
          <w:b w:val="false"/>
          <w:bCs w:val="false"/>
          <w:i/>
          <w:iCs/>
        </w:rPr>
        <w:t xml:space="preserve">looks</w:t>
      </w:r>
      <w:r>
        <w:rPr>
          <w:b w:val="false"/>
          <w:bCs w:val="false"/>
          <w:i w:val="false"/>
          <w:iCs w:val="false"/>
        </w:rPr>
        <w:t xml:space="preserve"> plausible. With it, we can point at every simulation result and say “the agentic audience reproduces real human persuasion outcomes within X percentage points on a labeled dataset of 3,051 conversations.”</w:t>
      </w:r>
    </w:p>
    <w:p>
      <w:pPr>
        <w:spacing w:after="120"/>
      </w:pPr>
      <w:r>
        <w:t xml:space="preserve"/>
      </w:r>
    </w:p>
    <w:p>
      <w:pPr>
        <w:pStyle w:val="Heading3"/>
      </w:pPr>
      <w:r>
        <w:t xml:space="preserve">B.  Three tiers of metrics</w:t>
      </w:r>
    </w:p>
    <w:p>
      <w:pPr>
        <w:spacing w:after="120" w:line="320"/>
      </w:pPr>
      <w:r>
        <w:rPr>
          <w:b w:val="false"/>
          <w:bCs w:val="false"/>
          <w:i w:val="false"/>
          <w:iCs w:val="false"/>
        </w:rPr>
        <w:t xml:space="preserve">Metrics live in three tiers, used at different stages of the pipeline. Tier 1 says whether the simulation matches reality (calibration). Tier 2 measures the effect of a persuasion lever once the simulation is calibrated. Tier 3 captures quality and side-effects, including the Hackenburg persuasion-accuracy tradeoff.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700"/>
        <w:gridCol w:w="4280"/>
      </w:tblGrid>
      <w:tr>
        <w:trPr>
          <w:tblHeader/>
        </w:trPr>
        <w:tc>
          <w:tcPr>
            <w:tcW w:type="dxa" w:w="11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color w:val="FFFFFF"/>
              </w:rPr>
              <w:t xml:space="preserve">Tier</w:t>
            </w:r>
          </w:p>
        </w:tc>
        <w:tc>
          <w:tcPr>
            <w:tcW w:type="dxa" w:w="20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Purpose</w:t>
            </w:r>
          </w:p>
        </w:tc>
        <w:tc>
          <w:tcPr>
            <w:tcW w:type="dxa" w:w="27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Metric</w:t>
            </w:r>
          </w:p>
        </w:tc>
        <w:tc>
          <w:tcPr>
            <w:tcW w:type="dxa" w:w="42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Definition</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Calibration</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2-Wasserstein on coefficient distributions</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Distance between simulated and real PINN-coefficient distributions, per prior. Lower is better.</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Calibration</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Cascade-time KS statistic</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Kolmogorov-Smirnov test between simulated and real time-to-half-reach distributions for polarizing posts.</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Calibration</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DTW on sentiment trajectories</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Normalized dynamic-time-warping distance between simulated and real per-user uᵢ(t) curves.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Calibration</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Spearman ρ on opinion-leader centrality</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Rank correlation between simulated and real top-k users by attention received.</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Calibration</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Δ-award rate per topic category</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On the CMV ground-truth layer: simulated agent's Δ-award rate vs. human's, by topic.</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ΔAttitudeₘₑₐₙ</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Mean change in uᵢ across non-persuader agents over the persuasion window. The Hackenburg analog.</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In-sim Δ-rate</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 of audience agents who explicitly acknowledge being persuaded (in-sim equivalent of CMV deltas).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Cascade reach</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 of agents who endorse, re-share, or produce supporting content. Captures diffusion that dyadic studies cannot.</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Polarization (var u)</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Variance of opinions at end of window. Persuasion can polarize even when it doesn't shift the mean.</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Latency to half-spread</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Time from intervention to 50% of eventual reach. Diagnoses fast-cascade vs. slow-deep tactics.</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Persuasion effect</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Defection rate</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 of agents who sever network ties or block during the window. Captures structural side-effects.</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3</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Quality / safety</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Factual accuracy</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 of fact-checkable claims in persuader output that are true. LLM-as-judge ensemble + automated fact check.</w:t>
            </w:r>
          </w:p>
        </w:tc>
      </w:tr>
      <w:tr>
        <w:tc>
          <w:tcPr>
            <w:tcW w:type="dxa" w:w="11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3</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Quality / safety</w:t>
            </w:r>
          </w:p>
        </w:tc>
        <w:tc>
          <w:tcPr>
            <w:tcW w:type="dxa" w:w="27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Persuasion-accuracy slope</w:t>
            </w:r>
          </w:p>
        </w:tc>
        <w:tc>
          <w:tcPr>
            <w:tcW w:type="dxa" w:w="4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Regression slope of factual accuracy on persuasiveness across cells. Replicates the Hackenburg tradeoff.</w:t>
            </w:r>
          </w:p>
        </w:tc>
      </w:tr>
      <w:t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3</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Quality / safety</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Persona-stability drift</w:t>
            </w:r>
          </w:p>
        </w:tc>
        <w:tc>
          <w:tcPr>
            <w:tcW w:type="dxa" w:w="4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Normed difference in agent persona vector across timesteps. Sanity check against LLM long-horizon drift.</w:t>
            </w:r>
          </w:p>
        </w:tc>
      </w:tr>
    </w:tbl>
    <w:p>
      <w:pPr>
        <w:spacing w:after="120"/>
      </w:pPr>
      <w:r>
        <w:t xml:space="preserve"/>
      </w:r>
    </w:p>
    <w:p>
      <w:pPr>
        <w:pStyle w:val="Heading3"/>
      </w:pPr>
      <w:r>
        <w:t xml:space="preserve">C.  Real-world data — and why r/ChangeMyView is the lead</w:t>
      </w:r>
    </w:p>
    <w:p>
      <w:pPr>
        <w:spacing w:after="120" w:line="320"/>
      </w:pPr>
      <w:r>
        <w:rPr>
          <w:b w:val="false"/>
          <w:bCs w:val="false"/>
          <w:i w:val="false"/>
          <w:iCs w:val="false"/>
        </w:rPr>
        <w:t xml:space="preserve">The right answer is </w:t>
      </w:r>
      <w:r>
        <w:rPr>
          <w:b/>
          <w:bCs/>
          <w:i w:val="false"/>
          <w:iCs w:val="false"/>
        </w:rPr>
        <w:t xml:space="preserve">a stack of datasets, </w:t>
      </w:r>
      <w:r>
        <w:rPr>
          <w:b w:val="false"/>
          <w:bCs w:val="false"/>
          <w:i w:val="false"/>
          <w:iCs w:val="false"/>
        </w:rPr>
        <w:t xml:space="preserve">with ChangeMyView providing the persuasion ground truth and other corpora providing the diffusion / longitudinal structure. Ranked by how directly each one supports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3780"/>
      </w:tblGrid>
      <w:tr>
        <w:trPr>
          <w:tblHeader/>
        </w:trPr>
        <w:tc>
          <w:tcPr>
            <w:tcW w:type="dxa" w:w="9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color w:val="FFFFFF"/>
              </w:rPr>
              <w:t xml:space="preserve">Tier</w:t>
            </w:r>
          </w:p>
        </w:tc>
        <w:tc>
          <w:tcPr>
            <w:tcW w:type="dxa" w:w="24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Dataset</w:t>
            </w:r>
          </w:p>
        </w:tc>
        <w:tc>
          <w:tcPr>
            <w:tcW w:type="dxa" w:w="30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What it is</w:t>
            </w:r>
          </w:p>
        </w:tc>
        <w:tc>
          <w:tcPr>
            <w:tcW w:type="dxa" w:w="37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Why it matters here</w:t>
            </w:r>
          </w:p>
        </w:tc>
      </w:tr>
      <w:tr>
        <w:tc>
          <w:tcPr>
            <w:tcW w:type="dxa" w:w="9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r/ChangeMyView (Tan et al. 2016 — Winning Arguments corpus)</w:t>
            </w:r>
          </w:p>
        </w:tc>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3,051 conversations, 293,297 utterances, 34,911 speakers. Ground-truth Δ persuasion labels: when the OP's view changes, they award a Δ to the comment that did it.</w:t>
            </w:r>
          </w:p>
        </w:tc>
        <w:tc>
          <w:tcPr>
            <w:tcW w:type="dxa" w:w="37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The only public dataset with literal “I was persuaded” labels. Used by Anthropic's persuasion benchmark, the OpenAI/Hackenburg analogs, and the (notorious) 2025 Zurich AI experiment that posted real LLM responses and tracked Δ awards. Drop-in ground truth for Layer 3 validation.</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Anthropic/persuasion (Durmus et al. 2024, HuggingFace)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Pre/post claim ratings from human participants who read either an LLM-generated or human-generated argument. Initial vs. final stance, by claim, by source.</w:t>
            </w:r>
          </w:p>
        </w:tc>
        <w:tc>
          <w:tcPr>
            <w:tcW w:type="dxa" w:w="37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Clean attitude-change measurement on isolated claims. Useful as a complementary Layer 3 check that doesn't require network structure. Hackenburg cites it; field-standard.</w:t>
            </w:r>
          </w:p>
        </w:tc>
      </w:tr>
      <w:tr>
        <w:tc>
          <w:tcPr>
            <w:tcW w:type="dxa" w:w="9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r/Brexit longitudinal corpus (Brexit Means Brexit, 2026)</w:t>
            </w:r>
          </w:p>
        </w:tc>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871k submissions across 5+ years; 5,895 hand-annotated submissions across 27 time periods, inter-annotator agreement 0.804.</w:t>
            </w:r>
          </w:p>
        </w:tc>
        <w:tc>
          <w:tcPr>
            <w:tcW w:type="dxa" w:w="37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Best longitudinal corpus for fitting time-varying PINN coefficients across known polarization shocks (referendum, May, Johnson, Brexit day). The recent paper notes that survivorship bias dominates polarization on r/BREXIT — itself a finding our PINN should reproduce.</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2</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LC-Stance — Long COVID treatment claims (Reddit, 2024)</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400 (title, comment) pairs from r/covidlonghaulers, hand-annotated for stance and claim type.</w:t>
            </w:r>
          </w:p>
        </w:tc>
        <w:tc>
          <w:tcPr>
            <w:tcW w:type="dxa" w:w="37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Health-misinformation domain. Real-world stakes. Operationally relevant to cognitive-security framing. Smaller scale but high-quality labels.</w:t>
            </w:r>
          </w:p>
        </w:tc>
      </w:tr>
      <w:tr>
        <w:tc>
          <w:tcPr>
            <w:tcW w:type="dxa" w:w="9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3</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Reddit Pushshift / Arctic Shift on polarized topics</w:t>
            </w:r>
          </w:p>
        </w:tc>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Full historical corpus of Reddit posts and comments, with reply structure preserved. Pushshift covers 2005-2023; Arctic Shift covers 2023+.</w:t>
            </w:r>
          </w:p>
        </w:tc>
        <w:tc>
          <w:tcPr>
            <w:tcW w:type="dxa" w:w="37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Source for cascade structure and diffusion measurement on any chosen topic. Best operationalized via 3-5 polarized subreddit pairs (e.g., r/politics ↔ r/conservative around the Dobbs ruling).</w:t>
            </w:r>
          </w:p>
        </w:tc>
      </w:tr>
      <w:tr>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TIER 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Bluesky firehose &amp; Telegram public channels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Bluesky: full public firehose with reply graphs. Telegram: cross-channel forwarding as the interaction signal.</w:t>
            </w:r>
          </w:p>
        </w:tc>
        <w:tc>
          <w:tcPr>
            <w:tcW w:type="dxa" w:w="37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Platform generalization tests. Same pipeline, different network shape (no subreddit boundaries on Bluesky; broadcast-dominant on Telegram). Volkova's group uses both.</w:t>
            </w:r>
          </w:p>
        </w:tc>
      </w:tr>
      <w:tr>
        <w:tc>
          <w:tcPr>
            <w:tcW w:type="dxa" w:w="9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TIER 4</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PersuasionBench, Persuasion-for-Good, MMPersuade</w:t>
            </w:r>
          </w:p>
        </w:tc>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Multi-task LLM persuasion benchmarks released 2024-2025. Generative + simulative persuasion tasks across multiple modalities.</w:t>
            </w:r>
          </w:p>
        </w:tc>
        <w:tc>
          <w:tcPr>
            <w:tcW w:type="dxa" w:w="37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Useful for cross-checking that our agentic audience matches established persuasion benchmarks beyond CMV. Guards against CMV-specific overfitting.</w:t>
            </w:r>
          </w:p>
        </w:tc>
      </w:tr>
    </w:tbl>
    <w:p>
      <w:pPr>
        <w:spacing w:after="120"/>
      </w:pPr>
      <w:r>
        <w:t xml:space="preserve"/>
      </w:r>
    </w:p>
    <w:p>
      <w:pPr>
        <w:spacing w:after="120" w:line="320"/>
      </w:pPr>
      <w:r>
        <w:rPr>
          <w:b/>
          <w:bCs/>
          <w:i w:val="false"/>
          <w:iCs w:val="false"/>
        </w:rPr>
        <w:t xml:space="preserve">The recommended reference build uses </w:t>
      </w:r>
      <w:r>
        <w:rPr>
          <w:b w:val="false"/>
          <w:bCs w:val="false"/>
          <w:i w:val="false"/>
          <w:iCs w:val="false"/>
        </w:rPr>
        <w:t xml:space="preserve">ChangeMyView (Layer 3 ground truth) + Brexit (longitudinal coefficient fitting) + one current polarized topic on Reddit (general diffusion structure). </w:t>
      </w:r>
      <w:r>
        <w:rPr>
          <w:b w:val="false"/>
          <w:bCs w:val="false"/>
          <w:i w:val="false"/>
          <w:iCs w:val="false"/>
        </w:rPr>
        <w:t xml:space="preserve">Bluesky and Telegram are added as platform-generalization tests in Stage D, not in the primary build.</w:t>
      </w:r>
    </w:p>
    <w:p>
      <w:pPr>
        <w:spacing w:after="120"/>
      </w:pPr>
      <w:r>
        <w:t xml:space="preserve"/>
      </w:r>
    </w:p>
    <w:p>
      <w:pPr>
        <w:pStyle w:val="Heading3"/>
      </w:pPr>
      <w:r>
        <w:t xml:space="preserve">D.  What the agents actually talk about</w:t>
      </w:r>
    </w:p>
    <w:p>
      <w:pPr>
        <w:spacing w:after="120" w:line="320"/>
      </w:pPr>
      <w:r>
        <w:rPr>
          <w:b w:val="false"/>
          <w:bCs w:val="false"/>
          <w:i w:val="false"/>
          <w:iCs w:val="false"/>
        </w:rPr>
        <w:t xml:space="preserve">Three topic cases for the reference build, each with established data and a clear external shock or controlled structure. Topic 1 is the lab-grade ground truth; Topics 2 and 3 are the natural-population validation.</w:t>
      </w:r>
    </w:p>
    <w:p>
      <w:pPr>
        <w:spacing w:after="120" w:line="320"/>
      </w:pPr>
      <w:r>
        <w:rPr>
          <w:b/>
          <w:bCs/>
          <w:i w:val="false"/>
          <w:iCs w:val="false"/>
          <w:color w:val="B85D2E"/>
        </w:rPr>
        <w:t xml:space="preserve">Topic 1 — CMV mini-cases (lab-grade ground truth). </w:t>
      </w:r>
      <w:r>
        <w:rPr>
          <w:b w:val="false"/>
          <w:bCs w:val="false"/>
          <w:i w:val="false"/>
          <w:iCs w:val="false"/>
        </w:rPr>
        <w:t xml:space="preserve">Use 50 r/ChangeMyView original posts as starting conditions. Each post comes with the OP's stance, their reasoning, and the actual replies that did or did not earn a Δ. Agents act as either the OP (does our simulated OP award a Δ at the human rate?) or as responders (do our simulated responders generate replies that earn Δs at the rate human responders did?). Spans the natural CMV distribution: politics, ethics, economics, lifestyle, abstract claims. Sample claims from the corpus: “CMV: Space exploration is a waste of money.” “CMV: Tipping should be abolished.” “CMV: There is no objective morality.” This is the cleanest persuasion measurement available.</w:t>
      </w:r>
    </w:p>
    <w:p>
      <w:pPr>
        <w:spacing w:after="120" w:line="320"/>
      </w:pPr>
      <w:r>
        <w:rPr>
          <w:b/>
          <w:bCs/>
          <w:i w:val="false"/>
          <w:iCs w:val="false"/>
          <w:color w:val="B85D2E"/>
        </w:rPr>
        <w:t xml:space="preserve">Topic 2 — Long COVID treatment claims (real-world stakes, current). </w:t>
      </w:r>
      <w:r>
        <w:rPr>
          <w:b w:val="false"/>
          <w:bCs w:val="false"/>
          <w:i w:val="false"/>
          <w:iCs w:val="false"/>
        </w:rPr>
        <w:t xml:space="preserve">Health misinformation in r/covidlonghaulers. LC-Stance dataset already hand-annotates 400 (title, comment) pairs for stance on emerging treatment claims. Every major long-COVID research announcement is a natural shock to the community's stance distribution. Operationally relevant: this is where adversarial persuasion has measurable real-world consequences.</w:t>
      </w:r>
    </w:p>
    <w:p>
      <w:pPr>
        <w:spacing w:after="120" w:line="320"/>
      </w:pPr>
      <w:r>
        <w:rPr>
          <w:b/>
          <w:bCs/>
          <w:i w:val="false"/>
          <w:iCs w:val="false"/>
          <w:color w:val="B85D2E"/>
        </w:rPr>
        <w:t xml:space="preserve">Topic 3 — Brexit (longitudinal, polarized, mature dataset). </w:t>
      </w:r>
      <w:r>
        <w:rPr>
          <w:b w:val="false"/>
          <w:bCs w:val="false"/>
          <w:i w:val="false"/>
          <w:iCs w:val="false"/>
        </w:rPr>
        <w:t xml:space="preserve">r/BREXIT, 2015–2021, 871,000 submissions, 5,895 hand-annotated for stance across 27 time periods. The discrete events — referendum, May resignation, Johnson election, Brexit day — are natural shocks for testing whether PINN coefficients track reality through known polarization moments. The recent finding that survivorship bias (entrenched users staying, persuadable users leaving) drives polarization on this corpus is itself a target for the PINN to reproduce.</w:t>
      </w:r>
    </w:p>
    <w:p>
      <w:pPr>
        <w:spacing w:after="120" w:line="320"/>
      </w:pPr>
      <w:r>
        <w:rPr>
          <w:b w:val="false"/>
          <w:bCs w:val="false"/>
          <w:i w:val="false"/>
          <w:iCs w:val="false"/>
        </w:rPr>
        <w:t xml:space="preserve">For the persuasion-lever sweep (Stage D), the persuader-agent is given a claim from the topic the audience is currently discussing and instructed to argue for or against, varying its post-training, prompting strategy, and network position per the factorial. Audience agents respond, propagate, defect, or grant in-sim deltas.</w:t>
      </w:r>
    </w:p>
    <w:p>
      <w:pPr>
        <w:spacing w:after="120"/>
      </w:pPr>
      <w:r>
        <w:t xml:space="preserve"/>
      </w:r>
    </w:p>
    <w:p>
      <w:pPr>
        <w:pStyle w:val="Heading3"/>
      </w:pPr>
      <w:r>
        <w:t xml:space="preserve">E.  How we measure persuasion happening to and around the agents</w:t>
      </w:r>
    </w:p>
    <w:p>
      <w:pPr>
        <w:spacing w:after="120" w:line="320"/>
      </w:pPr>
      <w:r>
        <w:rPr>
          <w:b w:val="false"/>
          <w:bCs w:val="false"/>
          <w:i w:val="false"/>
          <w:iCs w:val="false"/>
        </w:rPr>
        <w:t xml:space="preserve">Three measurement channels run concurrently. Each captures a different aspect of “did persuasion happen?” Together they are the per-simulation outcome vector.</w:t>
      </w:r>
    </w:p>
    <w:p>
      <w:pPr>
        <w:pStyle w:val="ListParagraph"/>
        <w:numPr>
          <w:ilvl w:val="0"/>
          <w:numId w:val="3"/>
        </w:numPr>
        <w:spacing w:after="80" w:line="300"/>
      </w:pPr>
      <w:r>
        <w:rPr>
          <w:b/>
          <w:bCs/>
          <w:i w:val="false"/>
          <w:iCs w:val="false"/>
        </w:rPr>
        <w:t xml:space="preserve">Direct attitude tracking. </w:t>
      </w:r>
      <w:r>
        <w:rPr>
          <w:b w:val="false"/>
          <w:bCs w:val="false"/>
          <w:i w:val="false"/>
          <w:iCs w:val="false"/>
        </w:rPr>
        <w:t xml:space="preserve">Every agent has a tracked uᵢ(t) updated at every timestep via the same RoBERTa-stance projection used on real data. Pre-window stance, mid-window stance, post-window stance, and full trajectory. ΔAttitudeₘₑₐₙ and var(u) come from this channel.</w:t>
      </w:r>
    </w:p>
    <w:p>
      <w:pPr>
        <w:pStyle w:val="ListParagraph"/>
        <w:numPr>
          <w:ilvl w:val="0"/>
          <w:numId w:val="3"/>
        </w:numPr>
        <w:spacing w:after="80" w:line="300"/>
      </w:pPr>
      <w:r>
        <w:rPr>
          <w:b/>
          <w:bCs/>
          <w:i w:val="false"/>
          <w:iCs w:val="false"/>
        </w:rPr>
        <w:t xml:space="preserve">Δ-award detection (in-sim CMV equivalent). </w:t>
      </w:r>
      <w:r>
        <w:rPr>
          <w:b w:val="false"/>
          <w:bCs w:val="false"/>
          <w:i w:val="false"/>
          <w:iCs w:val="false"/>
        </w:rPr>
        <w:t xml:space="preserve">After each meaningful interaction, the recipient agent is prompted: “Did this argument substantively change your view? If yes, on what point and why?” If yes, the system records an in-sim Δ with cause and target. This is the unit-of-analysis equivalent of a CMV delta and is the only way to capture moment-of-persuasion granularity. The in-sim Δ-rate is directly comparable to the human Δ-rate from the CMV ground-truth layer.</w:t>
      </w:r>
    </w:p>
    <w:p>
      <w:pPr>
        <w:pStyle w:val="ListParagraph"/>
        <w:numPr>
          <w:ilvl w:val="0"/>
          <w:numId w:val="3"/>
        </w:numPr>
        <w:spacing w:after="80" w:line="300"/>
      </w:pPr>
      <w:r>
        <w:rPr>
          <w:b/>
          <w:bCs/>
          <w:i w:val="false"/>
          <w:iCs w:val="false"/>
        </w:rPr>
        <w:t xml:space="preserve">Behavioral persuasion. </w:t>
      </w:r>
      <w:r>
        <w:rPr>
          <w:b w:val="false"/>
          <w:bCs w:val="false"/>
          <w:i w:val="false"/>
          <w:iCs w:val="false"/>
        </w:rPr>
        <w:t xml:space="preserve">Beyond stance: did the recipient re-share, endorse, write supporting content, or — conversely — sever ties with opponents, downvote, or block? Cascade reach, latency, and defection rate come from this channel. Captures the diffusion side that pure attitude tracking misses.</w:t>
      </w:r>
    </w:p>
    <w:p>
      <w:pPr>
        <w:spacing w:after="120" w:line="320"/>
      </w:pPr>
      <w:r>
        <w:rPr>
          <w:b w:val="false"/>
          <w:bCs w:val="false"/>
          <w:i w:val="false"/>
          <w:iCs w:val="false"/>
        </w:rPr>
        <w:t xml:space="preserve">For each cell of the factorial, the outcome vector is the full set of Tier-2 metrics aggregated across 30 random seeds and analyzed via the multilevel mixed-effects model (random intercepts for topic and seed; fixed effects for the factorial; Benjamini-Hochberg at 5% FDR for multiple comparisons). Pre-registered on OSF before any sims run.</w:t>
      </w:r>
    </w:p>
    <w:p>
      <w:pPr>
        <w:spacing w:after="120"/>
      </w:pPr>
      <w:r>
        <w:t xml:space="preserve"/>
      </w:r>
    </w:p>
    <w:p>
      <w:pPr>
        <w:pStyle w:val="Heading3"/>
      </w:pPr>
      <w:r>
        <w:t xml:space="preserve">F.  One-line summary by question</w:t>
      </w:r>
    </w:p>
    <w:p>
      <w:pPr>
        <w:spacing w:after="120" w:line="320"/>
      </w:pPr>
      <w:r>
        <w:rPr>
          <w:b/>
          <w:bCs/>
          <w:i w:val="false"/>
          <w:iCs w:val="false"/>
          <w:color w:val="B85D2E"/>
        </w:rPr>
        <w:t xml:space="preserve">How will validation work? </w:t>
      </w:r>
      <w:r>
        <w:rPr>
          <w:b w:val="false"/>
          <w:bCs w:val="false"/>
          <w:i w:val="false"/>
          <w:iCs w:val="false"/>
        </w:rPr>
        <w:t xml:space="preserve">Three concentric layers: PINN coefficient match, five held-out behavioral gates, and the CMV Δ-label ground-truth test. The third layer is the closer.</w:t>
      </w:r>
    </w:p>
    <w:p>
      <w:pPr>
        <w:spacing w:after="120" w:line="320"/>
      </w:pPr>
      <w:r>
        <w:rPr>
          <w:b/>
          <w:bCs/>
          <w:i w:val="false"/>
          <w:iCs w:val="false"/>
          <w:color w:val="B85D2E"/>
        </w:rPr>
        <w:t xml:space="preserve">What are my metrics? </w:t>
      </w:r>
      <w:r>
        <w:rPr>
          <w:b w:val="false"/>
          <w:bCs w:val="false"/>
          <w:i w:val="false"/>
          <w:iCs w:val="false"/>
        </w:rPr>
        <w:t xml:space="preserve">Three tiers: calibration metrics (Wasserstein, KS, DTW, Spearman ρ, Δ-rate match), persuasion-effect metrics (ΔAttitude, in-sim Δ-rate, cascade reach, polarization, latency, defection), and quality/safety metrics (factual accuracy, persuasion-accuracy slope, persona drift).</w:t>
      </w:r>
    </w:p>
    <w:p>
      <w:pPr>
        <w:spacing w:after="120" w:line="320"/>
      </w:pPr>
      <w:r>
        <w:rPr>
          <w:b/>
          <w:bCs/>
          <w:i w:val="false"/>
          <w:iCs w:val="false"/>
          <w:color w:val="B85D2E"/>
        </w:rPr>
        <w:t xml:space="preserve">What real-world data, and which is best? </w:t>
      </w:r>
      <w:r>
        <w:rPr>
          <w:b w:val="false"/>
          <w:bCs w:val="false"/>
          <w:i w:val="false"/>
          <w:iCs w:val="false"/>
        </w:rPr>
        <w:t xml:space="preserve">r/ChangeMyView (Tan et al. 2016) is the lead — only public dataset with explicit Δ persuasion labels. Brexit and Long COVID for longitudinal and topical structure; Reddit Pushshift for general diffusion; Bluesky and Telegram for platform-generalization.</w:t>
      </w:r>
    </w:p>
    <w:p>
      <w:pPr>
        <w:spacing w:after="120" w:line="320"/>
      </w:pPr>
      <w:r>
        <w:rPr>
          <w:b/>
          <w:bCs/>
          <w:i w:val="false"/>
          <w:iCs w:val="false"/>
          <w:color w:val="B85D2E"/>
        </w:rPr>
        <w:t xml:space="preserve">What do my agents talk about? </w:t>
      </w:r>
      <w:r>
        <w:rPr>
          <w:b w:val="false"/>
          <w:bCs w:val="false"/>
          <w:i w:val="false"/>
          <w:iCs w:val="false"/>
        </w:rPr>
        <w:t xml:space="preserve">Three topic cases: 50 CMV mini-cases (lab-grade ground truth), Long COVID treatment claims (real-world stakes), Brexit (longitudinal validation). Persuader agents are given specific claims drawn from the topic and instructed to argue per the factorial cell.</w:t>
      </w:r>
    </w:p>
    <w:p>
      <w:pPr>
        <w:spacing w:after="120" w:line="320"/>
      </w:pPr>
      <w:r>
        <w:rPr>
          <w:b/>
          <w:bCs/>
          <w:i w:val="false"/>
          <w:iCs w:val="false"/>
          <w:color w:val="B85D2E"/>
        </w:rPr>
        <w:t xml:space="preserve">How is persuasion measured? </w:t>
      </w:r>
      <w:r>
        <w:rPr>
          <w:b w:val="false"/>
          <w:bCs w:val="false"/>
          <w:i w:val="false"/>
          <w:iCs w:val="false"/>
        </w:rPr>
        <w:t xml:space="preserve">Three concurrent channels: continuous uᵢ(t) tracking; in-sim Δ-award elicitation after each interaction; behavioral signals (reshare / endorse / sever ties / downvote). All aggregated per factorial cell across 30 seeds and analyzed via a multilevel mixed-effects model with FDR control.</w:t>
      </w:r>
    </w:p>
    <w:p>
      <w:r>
        <w:br w:type="page"/>
      </w:r>
    </w:p>
    <w:p>
      <w:pPr>
        <w:pStyle w:val="Heading2"/>
      </w:pPr>
      <w:r>
        <w:t xml:space="preserve">The proposed research</w:t>
      </w:r>
    </w:p>
    <w:p>
      <w:pPr>
        <w:pStyle w:val="Heading3"/>
      </w:pPr>
      <w:r>
        <w:t xml:space="preserve">Five-stage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280"/>
      </w:tblGrid>
      <w:tr>
        <w:trPr>
          <w:tblHeader/>
        </w:trPr>
        <w:tc>
          <w:tcPr>
            <w:tcW w:type="dxa" w:w="14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Stage</w:t>
            </w:r>
          </w:p>
        </w:tc>
        <w:tc>
          <w:tcPr>
            <w:tcW w:type="dxa" w:w="24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Operation</w:t>
            </w:r>
          </w:p>
        </w:tc>
        <w:tc>
          <w:tcPr>
            <w:tcW w:type="dxa" w:w="62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Description</w:t>
            </w:r>
          </w:p>
        </w:tc>
      </w:tr>
      <w:tr>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rPr>
              <w:t xml:space="preserve">A · DATA</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Cascade extraction</w:t>
            </w:r>
          </w:p>
        </w:tc>
        <w:tc>
          <w:tcPr>
            <w:tcW w:type="dxa" w:w="6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Pull longitudinal posts and reply graphs from Reddit, Bluesky, Telegram for 3 polarized topic-cases. Project per-user stance with a fine-tuned RoBERTa classifier. Build directed reply graph.</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color w:val="B85D2E"/>
              </w:rPr>
              <w:t xml:space="preserve">B · PINN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Coefficient fit</w:t>
            </w:r>
          </w:p>
        </w:tc>
        <w:tc>
          <w:tcPr>
            <w:tcW w:type="dxa" w:w="6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Fit a SINN/OPINN-style physics-informed neural network with three priors — Friedkin-Johnsen, Hegselmann-Krause, Diffusion-Convection-Reaction — and extract per-community coefficients (stubbornness α, confidence radius ε, diffusion D, etc.) with bootstrap confidence intervals.</w:t>
            </w:r>
          </w:p>
        </w:tc>
      </w:tr>
      <w:tr>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rPr>
              <w:t xml:space="preserve">C · AGENTS</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LLM agentic audience</w:t>
            </w:r>
          </w:p>
        </w:tc>
        <w:tc>
          <w:tcPr>
            <w:tcW w:type="dxa" w:w="6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Build a 200–1,000-agent LLM simulation with personas, memory, and rewiring. Tune it on the training slab until emergent coefficients fall inside real-data CIs on five held-out behaviors: cascade timing, drop-out rates, sentiment trajectories, cross-topic transfer, opinion-leader centrality.</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color w:val="B85D2E"/>
              </w:rPr>
              <w:t xml:space="preserve">D · SWEEP</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Persuasion-lever sweep</w:t>
            </w:r>
          </w:p>
        </w:tc>
        <w:tc>
          <w:tcPr>
            <w:tcW w:type="dxa" w:w="62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Replicate the Hackenburg factorial inside the calibrated chamber: post-training method × prompting strategy × persuader network position. 160 cells × 30 reps. Measure ΔAttitude, cascade reach, polarization, factual accuracy, latency, defection.</w:t>
            </w:r>
          </w:p>
        </w:tc>
      </w:tr>
      <w:tr>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color w:val="B85D2E"/>
              </w:rPr>
              <w:t xml:space="preserve">E · DEFEND</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Inoculation companion</w:t>
            </w:r>
          </w:p>
        </w:tc>
        <w:tc>
          <w:tcPr>
            <w:tcW w:type="dxa" w:w="62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For each effective lever, design and measure the matching defense: pre-bunking, friction injection, structural rewiring. Evaluate via causal counterfactual (DoWhy / EconML). Mirrors Volkova's BRIES.</w:t>
            </w:r>
          </w:p>
        </w:tc>
      </w:tr>
    </w:tbl>
    <w:p>
      <w:pPr>
        <w:spacing w:after="120"/>
      </w:pPr>
      <w:r>
        <w:t xml:space="preserve"/>
      </w:r>
    </w:p>
    <w:p>
      <w:pPr>
        <w:pStyle w:val="Heading3"/>
      </w:pPr>
      <w:r>
        <w:t xml:space="preserve">The non-circular validation question — answered</w:t>
      </w:r>
    </w:p>
    <w:p>
      <w:pPr>
        <w:spacing w:after="120" w:line="320"/>
      </w:pPr>
      <w:r>
        <w:rPr>
          <w:b w:val="false"/>
          <w:bCs w:val="false"/>
          <w:i w:val="false"/>
          <w:iCs w:val="false"/>
        </w:rPr>
        <w:t xml:space="preserve">The honest concern: if we calibrate agents to match PINN coefficients and then validate them with PINN coefficients, the loop is tautological. Solution: </w:t>
      </w:r>
      <w:r>
        <w:rPr>
          <w:b/>
          <w:bCs/>
          <w:i w:val="false"/>
          <w:iCs w:val="false"/>
        </w:rPr>
        <w:t xml:space="preserve">the coefficients are the fingerprint, the validation is on separate, held-out behaviors. </w:t>
      </w:r>
      <w:r>
        <w:rPr>
          <w:b w:val="false"/>
          <w:bCs w:val="false"/>
          <w:i w:val="false"/>
          <w:iCs w:val="false"/>
        </w:rPr>
        <w:t xml:space="preserve">Agents are tuned only on the first 60% of the data. Validation lives entirely on the final 20% test slab and on five behaviors that the calibration never directly scores. A simulation passes only if it lands within real-data CIs on the coefficients </w:t>
      </w:r>
      <w:r>
        <w:rPr>
          <w:b w:val="false"/>
          <w:bCs w:val="false"/>
          <w:i/>
          <w:iCs/>
        </w:rPr>
        <w:t xml:space="preserve">and</w:t>
      </w:r>
      <w:r>
        <w:rPr>
          <w:b w:val="false"/>
          <w:bCs w:val="false"/>
          <w:i w:val="false"/>
          <w:iCs w:val="false"/>
        </w:rPr>
        <w:t xml:space="preserve"> clears all five behavioral gates. Pre-register the thresholds.</w:t>
      </w:r>
    </w:p>
    <w:p>
      <w:pPr>
        <w:spacing w:after="120"/>
      </w:pPr>
      <w:r>
        <w:t xml:space="preserve"/>
      </w:r>
    </w:p>
    <w:p>
      <w:pPr>
        <w:pStyle w:val="Heading2"/>
      </w:pPr>
      <w:r>
        <w:t xml:space="preserve">Quad chart</w:t>
      </w:r>
    </w:p>
    <w:p>
      <w:pPr>
        <w:spacing w:after="120" w:line="320"/>
      </w:pPr>
      <w:r>
        <w:rPr>
          <w:b w:val="false"/>
          <w:bCs w:val="false"/>
          <w:i w:val="false"/>
          <w:iCs w:val="false"/>
        </w:rPr>
        <w:t xml:space="preserve">Single-page summary, one panel per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FBFBF" w:sz="4"/>
              <w:left w:val="single" w:color="BFBFBF" w:sz="4"/>
              <w:bottom w:val="single" w:color="BFBFBF" w:sz="4"/>
              <w:right w:val="single" w:color="BFBFBF" w:sz="4"/>
            </w:tcBorders>
            <w:shd w:fill="FAF8F4" w:val="clear"/>
            <w:tcMar>
              <w:top w:type="dxa" w:w="120"/>
              <w:left w:type="dxa" w:w="160"/>
              <w:bottom w:type="dxa" w:w="120"/>
              <w:right w:type="dxa" w:w="160"/>
            </w:tcMar>
            <w:vAlign w:val="top"/>
          </w:tcPr>
          <w:p>
            <w:pPr>
              <w:spacing w:after="60" w:line="280"/>
              <w:jc w:val="left"/>
            </w:pPr>
            <w:r>
              <w:rPr>
                <w:b/>
                <w:bCs/>
                <w:i w:val="false"/>
                <w:iCs w:val="false"/>
                <w:color w:val="B85D2E"/>
                <w:sz w:val="22"/>
                <w:szCs w:val="22"/>
              </w:rPr>
              <w:t xml:space="preserve">Q1 — Need &amp; Opportunity</w:t>
            </w:r>
          </w:p>
          <w:p>
            <w:pPr>
              <w:spacing w:after="60" w:line="280"/>
              <w:jc w:val="left"/>
            </w:pPr>
            <w:r>
              <w:rPr>
                <w:b w:val="false"/>
                <w:bCs w:val="false"/>
                <w:i/>
                <w:iCs/>
                <w:color w:val="595959"/>
              </w:rPr>
              <w:t xml:space="preserve">Why now</w:t>
            </w:r>
          </w:p>
          <w:p>
            <w:pPr>
              <w:spacing w:after="60" w:line="280"/>
              <w:ind w:left="200" w:hanging="200"/>
            </w:pPr>
            <w:r>
              <w:rPr>
                <w:b/>
                <w:bCs/>
                <w:color w:val="B85D2E"/>
              </w:rPr>
              <w:t xml:space="preserve">•  </w:t>
            </w:r>
            <w:r>
              <w:rPr>
                <w:b w:val="false"/>
                <w:bCs w:val="false"/>
                <w:i w:val="false"/>
                <w:iCs w:val="false"/>
              </w:rPr>
              <w:t xml:space="preserve">Generative-AI persuasion is mapped at the dyadic level only (Hackenburg, Science 2025: +51% from post-training, +27% from prompting). The network-level case is open.</w:t>
            </w:r>
          </w:p>
          <w:p>
            <w:pPr>
              <w:spacing w:after="60" w:line="280"/>
              <w:ind w:left="200" w:hanging="200"/>
            </w:pPr>
            <w:r>
              <w:rPr>
                <w:b/>
                <w:bCs/>
                <w:color w:val="B85D2E"/>
              </w:rPr>
              <w:t xml:space="preserve">•  </w:t>
            </w:r>
            <w:r>
              <w:rPr>
                <w:b w:val="false"/>
                <w:bCs w:val="false"/>
                <w:i w:val="false"/>
                <w:iCs w:val="false"/>
              </w:rPr>
              <w:t xml:space="preserve">LLM-agent simulations of social networks are exploding but lean on subjective “believability” for validation.</w:t>
            </w:r>
          </w:p>
          <w:p>
            <w:pPr>
              <w:spacing w:after="60" w:line="280"/>
              <w:ind w:left="200" w:hanging="200"/>
            </w:pPr>
            <w:r>
              <w:rPr>
                <w:b/>
                <w:bCs/>
                <w:color w:val="B85D2E"/>
              </w:rPr>
              <w:t xml:space="preserve">•  </w:t>
            </w:r>
            <w:r>
              <w:rPr>
                <w:b w:val="false"/>
                <w:bCs w:val="false"/>
                <w:i w:val="false"/>
                <w:iCs w:val="false"/>
              </w:rPr>
              <w:t xml:space="preserve">Volkova (March 2026): population-level digital-twin validation is “totally understudied.” Field-leader-flagged gap.</w:t>
            </w:r>
          </w:p>
          <w:p>
            <w:pPr>
              <w:spacing w:after="60" w:line="280"/>
              <w:ind w:left="200" w:hanging="200"/>
            </w:pPr>
            <w:r>
              <w:rPr>
                <w:b/>
                <w:bCs/>
                <w:color w:val="B85D2E"/>
              </w:rPr>
              <w:t xml:space="preserve">•  </w:t>
            </w:r>
            <w:r>
              <w:rPr>
                <w:b w:val="false"/>
                <w:bCs w:val="false"/>
                <w:i w:val="false"/>
                <w:iCs w:val="false"/>
              </w:rPr>
              <w:t xml:space="preserve">Cognitive-warfare doctrine demands falsifiable population models, not just plausible outputs.</w:t>
            </w:r>
          </w:p>
        </w:tc>
        <w:tc>
          <w:tcPr>
            <w:tcW w:type="dxa" w:w="5040"/>
            <w:tcBorders>
              <w:top w:val="single" w:color="BFBFBF" w:sz="4"/>
              <w:left w:val="single" w:color="BFBFBF" w:sz="4"/>
              <w:bottom w:val="single" w:color="BFBFBF" w:sz="4"/>
              <w:right w:val="single" w:color="BFBFBF" w:sz="4"/>
            </w:tcBorders>
            <w:tcMar>
              <w:top w:type="dxa" w:w="120"/>
              <w:left w:type="dxa" w:w="160"/>
              <w:bottom w:type="dxa" w:w="120"/>
              <w:right w:type="dxa" w:w="160"/>
            </w:tcMar>
            <w:vAlign w:val="top"/>
          </w:tcPr>
          <w:p>
            <w:pPr>
              <w:spacing w:after="60" w:line="280"/>
              <w:jc w:val="left"/>
            </w:pPr>
            <w:r>
              <w:rPr>
                <w:b/>
                <w:bCs/>
                <w:i w:val="false"/>
                <w:iCs w:val="false"/>
                <w:color w:val="B85D2E"/>
                <w:sz w:val="22"/>
                <w:szCs w:val="22"/>
              </w:rPr>
              <w:t xml:space="preserve">Q2 — Technical Approach</w:t>
            </w:r>
          </w:p>
          <w:p>
            <w:pPr>
              <w:spacing w:after="60" w:line="280"/>
              <w:jc w:val="left"/>
            </w:pPr>
            <w:r>
              <w:rPr>
                <w:b w:val="false"/>
                <w:bCs w:val="false"/>
                <w:i/>
                <w:iCs/>
                <w:color w:val="595959"/>
              </w:rPr>
              <w:t xml:space="preserve">Five stages</w:t>
            </w:r>
          </w:p>
          <w:p>
            <w:pPr>
              <w:spacing w:after="60" w:line="280"/>
              <w:ind w:left="200" w:hanging="200"/>
            </w:pPr>
            <w:r>
              <w:rPr>
                <w:b/>
                <w:bCs/>
                <w:color w:val="B85D2E"/>
              </w:rPr>
              <w:t xml:space="preserve">•  </w:t>
            </w:r>
            <w:r>
              <w:rPr>
                <w:b w:val="false"/>
                <w:bCs w:val="false"/>
                <w:i w:val="false"/>
                <w:iCs w:val="false"/>
              </w:rPr>
              <w:t xml:space="preserve">PINN ensemble over three priors — Friedkin-Johnsen, Hegselmann-Krause, Diffusion-Convection-Reaction — fit to Reddit/Bluesky/Telegram cascade data.</w:t>
            </w:r>
          </w:p>
          <w:p>
            <w:pPr>
              <w:spacing w:after="60" w:line="280"/>
              <w:ind w:left="200" w:hanging="200"/>
            </w:pPr>
            <w:r>
              <w:rPr>
                <w:b/>
                <w:bCs/>
                <w:color w:val="B85D2E"/>
              </w:rPr>
              <w:t xml:space="preserve">•  </w:t>
            </w:r>
            <w:r>
              <w:rPr>
                <w:b w:val="false"/>
                <w:bCs w:val="false"/>
                <w:i w:val="false"/>
                <w:iCs w:val="false"/>
              </w:rPr>
              <w:t xml:space="preserve">Agents tuned on training slab; validated on five held-out behaviors to avoid circular validation.</w:t>
            </w:r>
          </w:p>
          <w:p>
            <w:pPr>
              <w:spacing w:after="60" w:line="280"/>
              <w:ind w:left="200" w:hanging="200"/>
            </w:pPr>
            <w:r>
              <w:rPr>
                <w:b/>
                <w:bCs/>
                <w:color w:val="B85D2E"/>
              </w:rPr>
              <w:t xml:space="preserve">•  </w:t>
            </w:r>
            <w:r>
              <w:rPr>
                <w:b w:val="false"/>
                <w:bCs w:val="false"/>
                <w:i w:val="false"/>
                <w:iCs w:val="false"/>
              </w:rPr>
              <w:t xml:space="preserve">Hackenburg-style 3-way factorial (post-training × prompting × persuader role) inside the calibrated chamber.</w:t>
            </w:r>
          </w:p>
          <w:p>
            <w:pPr>
              <w:spacing w:after="60" w:line="280"/>
              <w:ind w:left="200" w:hanging="200"/>
            </w:pPr>
            <w:r>
              <w:rPr>
                <w:b/>
                <w:bCs/>
                <w:color w:val="B85D2E"/>
              </w:rPr>
              <w:t xml:space="preserve">•  </w:t>
            </w:r>
            <w:r>
              <w:rPr>
                <w:b w:val="false"/>
                <w:bCs w:val="false"/>
                <w:i w:val="false"/>
                <w:iCs w:val="false"/>
              </w:rPr>
              <w:t xml:space="preserve">Inoculation: BRIES-mirror — pre-bunk, friction, rewiring, evaluated by causal counterfactual.</w:t>
            </w:r>
          </w:p>
        </w:tc>
      </w:tr>
      <w:tr>
        <w:tc>
          <w:tcPr>
            <w:tcW w:type="dxa" w:w="5040"/>
            <w:tcBorders>
              <w:top w:val="single" w:color="BFBFBF" w:sz="4"/>
              <w:left w:val="single" w:color="BFBFBF" w:sz="4"/>
              <w:bottom w:val="single" w:color="BFBFBF" w:sz="4"/>
              <w:right w:val="single" w:color="BFBFBF" w:sz="4"/>
            </w:tcBorders>
            <w:tcMar>
              <w:top w:type="dxa" w:w="120"/>
              <w:left w:type="dxa" w:w="160"/>
              <w:bottom w:type="dxa" w:w="120"/>
              <w:right w:type="dxa" w:w="160"/>
            </w:tcMar>
            <w:vAlign w:val="top"/>
          </w:tcPr>
          <w:p>
            <w:pPr>
              <w:spacing w:after="60" w:line="280"/>
              <w:jc w:val="left"/>
            </w:pPr>
            <w:r>
              <w:rPr>
                <w:b/>
                <w:bCs/>
                <w:i w:val="false"/>
                <w:iCs w:val="false"/>
                <w:color w:val="B85D2E"/>
                <w:sz w:val="22"/>
                <w:szCs w:val="22"/>
              </w:rPr>
              <w:t xml:space="preserve">Q3 — Outcomes &amp; Deliverables</w:t>
            </w:r>
          </w:p>
          <w:p>
            <w:pPr>
              <w:spacing w:after="60" w:line="280"/>
              <w:jc w:val="left"/>
            </w:pPr>
            <w:r>
              <w:rPr>
                <w:b w:val="false"/>
                <w:bCs w:val="false"/>
                <w:i/>
                <w:iCs/>
                <w:color w:val="595959"/>
              </w:rPr>
              <w:t xml:space="preserve">Measurable</w:t>
            </w:r>
          </w:p>
          <w:p>
            <w:pPr>
              <w:spacing w:after="60" w:line="280"/>
              <w:ind w:left="200" w:hanging="200"/>
            </w:pPr>
            <w:r>
              <w:rPr>
                <w:b/>
                <w:bCs/>
                <w:color w:val="B85D2E"/>
              </w:rPr>
              <w:t xml:space="preserve">•  </w:t>
            </w:r>
            <w:r>
              <w:rPr>
                <w:b w:val="false"/>
                <w:bCs w:val="false"/>
                <w:i w:val="false"/>
                <w:iCs w:val="false"/>
              </w:rPr>
              <w:t xml:space="preserve">A reusable calibration protocol: PINN-coefficient fingerprint as a pass/fail certificate for any agentic-audience system.</w:t>
            </w:r>
          </w:p>
          <w:p>
            <w:pPr>
              <w:spacing w:after="60" w:line="280"/>
              <w:ind w:left="200" w:hanging="200"/>
            </w:pPr>
            <w:r>
              <w:rPr>
                <w:b/>
                <w:bCs/>
                <w:color w:val="B85D2E"/>
              </w:rPr>
              <w:t xml:space="preserve">•  </w:t>
            </w:r>
            <w:r>
              <w:rPr>
                <w:b w:val="false"/>
                <w:bCs w:val="false"/>
                <w:i w:val="false"/>
                <w:iCs w:val="false"/>
              </w:rPr>
              <w:t xml:space="preserve">First systematic map of network-level persuasion levers, by network position.</w:t>
            </w:r>
          </w:p>
          <w:p>
            <w:pPr>
              <w:spacing w:after="60" w:line="280"/>
              <w:ind w:left="200" w:hanging="200"/>
            </w:pPr>
            <w:r>
              <w:rPr>
                <w:b/>
                <w:bCs/>
                <w:color w:val="B85D2E"/>
              </w:rPr>
              <w:t xml:space="preserve">•  </w:t>
            </w:r>
            <w:r>
              <w:rPr>
                <w:b w:val="false"/>
                <w:bCs w:val="false"/>
                <w:i w:val="false"/>
                <w:iCs w:val="false"/>
              </w:rPr>
              <w:t xml:space="preserve">Quantified persuasion–accuracy tradeoff at the population scale.</w:t>
            </w:r>
          </w:p>
          <w:p>
            <w:pPr>
              <w:spacing w:after="60" w:line="280"/>
              <w:ind w:left="200" w:hanging="200"/>
            </w:pPr>
            <w:r>
              <w:rPr>
                <w:b/>
                <w:bCs/>
                <w:color w:val="B85D2E"/>
              </w:rPr>
              <w:t xml:space="preserve">•  </w:t>
            </w:r>
            <w:r>
              <w:rPr>
                <w:b w:val="false"/>
                <w:bCs w:val="false"/>
                <w:i w:val="false"/>
                <w:iCs w:val="false"/>
              </w:rPr>
              <w:t xml:space="preserve">Per-lever inoculation library with causal effect-size estimates.</w:t>
            </w:r>
          </w:p>
          <w:p>
            <w:pPr>
              <w:spacing w:after="60" w:line="280"/>
              <w:ind w:left="200" w:hanging="200"/>
            </w:pPr>
            <w:r>
              <w:rPr>
                <w:b/>
                <w:bCs/>
                <w:color w:val="B85D2E"/>
              </w:rPr>
              <w:t xml:space="preserve">•  </w:t>
            </w:r>
            <w:r>
              <w:rPr>
                <w:b w:val="false"/>
                <w:bCs w:val="false"/>
                <w:i w:val="false"/>
                <w:iCs w:val="false"/>
              </w:rPr>
              <w:t xml:space="preserve">Three papers, one open dataset, one open-source toolkit.</w:t>
            </w:r>
          </w:p>
        </w:tc>
        <w:tc>
          <w:tcPr>
            <w:tcW w:type="dxa" w:w="5040"/>
            <w:tcBorders>
              <w:top w:val="single" w:color="BFBFBF" w:sz="4"/>
              <w:left w:val="single" w:color="BFBFBF" w:sz="4"/>
              <w:bottom w:val="single" w:color="BFBFBF" w:sz="4"/>
              <w:right w:val="single" w:color="BFBFBF" w:sz="4"/>
            </w:tcBorders>
            <w:shd w:fill="FAF8F4" w:val="clear"/>
            <w:tcMar>
              <w:top w:type="dxa" w:w="120"/>
              <w:left w:type="dxa" w:w="160"/>
              <w:bottom w:type="dxa" w:w="120"/>
              <w:right w:type="dxa" w:w="160"/>
            </w:tcMar>
            <w:vAlign w:val="top"/>
          </w:tcPr>
          <w:p>
            <w:pPr>
              <w:spacing w:after="60" w:line="280"/>
              <w:jc w:val="left"/>
            </w:pPr>
            <w:r>
              <w:rPr>
                <w:b/>
                <w:bCs/>
                <w:i w:val="false"/>
                <w:iCs w:val="false"/>
                <w:color w:val="B85D2E"/>
                <w:sz w:val="22"/>
                <w:szCs w:val="22"/>
              </w:rPr>
              <w:t xml:space="preserve">Q4 — Risks &amp; Path Forward</w:t>
            </w:r>
          </w:p>
          <w:p>
            <w:pPr>
              <w:spacing w:after="60" w:line="280"/>
              <w:jc w:val="left"/>
            </w:pPr>
            <w:r>
              <w:rPr>
                <w:b w:val="false"/>
                <w:bCs w:val="false"/>
                <w:i/>
                <w:iCs/>
                <w:color w:val="595959"/>
              </w:rPr>
              <w:t xml:space="preserve">Decision-grade</w:t>
            </w:r>
          </w:p>
          <w:p>
            <w:pPr>
              <w:spacing w:after="60" w:line="280"/>
              <w:ind w:left="200" w:hanging="200"/>
            </w:pPr>
            <w:r>
              <w:rPr>
                <w:b/>
                <w:bCs/>
                <w:color w:val="B85D2E"/>
              </w:rPr>
              <w:t xml:space="preserve">•  </w:t>
            </w:r>
            <w:r>
              <w:rPr>
                <w:b w:val="false"/>
                <w:bCs w:val="false"/>
                <w:i w:val="false"/>
                <w:iCs w:val="false"/>
              </w:rPr>
              <w:t xml:space="preserve">Identifiability: PINN coefficients vary with prior; mitigated by ensemble across three priors.</w:t>
            </w:r>
          </w:p>
          <w:p>
            <w:pPr>
              <w:spacing w:after="60" w:line="280"/>
              <w:ind w:left="200" w:hanging="200"/>
            </w:pPr>
            <w:r>
              <w:rPr>
                <w:b/>
                <w:bCs/>
                <w:color w:val="B85D2E"/>
              </w:rPr>
              <w:t xml:space="preserve">•  </w:t>
            </w:r>
            <w:r>
              <w:rPr>
                <w:b w:val="false"/>
                <w:bCs w:val="false"/>
                <w:i w:val="false"/>
                <w:iCs w:val="false"/>
              </w:rPr>
              <w:t xml:space="preserve">Circular validation: addressed by tuning on training slab, validating on five held-out behaviors.</w:t>
            </w:r>
          </w:p>
          <w:p>
            <w:pPr>
              <w:spacing w:after="60" w:line="280"/>
              <w:ind w:left="200" w:hanging="200"/>
            </w:pPr>
            <w:r>
              <w:rPr>
                <w:b/>
                <w:bCs/>
                <w:color w:val="B85D2E"/>
              </w:rPr>
              <w:t xml:space="preserve">•  </w:t>
            </w:r>
            <w:r>
              <w:rPr>
                <w:b w:val="false"/>
                <w:bCs w:val="false"/>
                <w:i w:val="false"/>
                <w:iCs w:val="false"/>
              </w:rPr>
              <w:t xml:space="preserve">Data access: pivot to Reddit Pushshift, Bluesky firehose, Telegram public channels (Volkova's stack).</w:t>
            </w:r>
          </w:p>
          <w:p>
            <w:pPr>
              <w:spacing w:after="60" w:line="280"/>
              <w:ind w:left="200" w:hanging="200"/>
            </w:pPr>
            <w:r>
              <w:rPr>
                <w:b/>
                <w:bCs/>
                <w:color w:val="B85D2E"/>
              </w:rPr>
              <w:t xml:space="preserve">•  </w:t>
            </w:r>
            <w:r>
              <w:rPr>
                <w:b w:val="false"/>
                <w:bCs w:val="false"/>
                <w:i w:val="false"/>
                <w:iCs w:val="false"/>
              </w:rPr>
              <w:t xml:space="preserve">Compute: ~290M LLM calls; cached open-weights inference; ~$35k.</w:t>
            </w:r>
          </w:p>
          <w:p>
            <w:pPr>
              <w:spacing w:after="60" w:line="280"/>
              <w:ind w:left="200" w:hanging="200"/>
            </w:pPr>
            <w:r>
              <w:rPr>
                <w:b/>
                <w:bCs/>
                <w:color w:val="B85D2E"/>
              </w:rPr>
              <w:t xml:space="preserve">•  </w:t>
            </w:r>
            <w:r>
              <w:rPr>
                <w:b w:val="false"/>
                <w:bCs w:val="false"/>
                <w:i w:val="false"/>
                <w:iCs w:val="false"/>
              </w:rPr>
              <w:t xml:space="preserve">Dual-use: defense-first framing, paired inoculation, IRB + red-team review at each milestone.</w:t>
            </w:r>
          </w:p>
          <w:p>
            <w:pPr>
              <w:spacing w:after="60" w:line="280"/>
              <w:ind w:left="200" w:hanging="200"/>
            </w:pPr>
            <w:r>
              <w:rPr>
                <w:b/>
                <w:bCs/>
                <w:color w:val="B85D2E"/>
              </w:rPr>
              <w:t xml:space="preserve">•  </w:t>
            </w:r>
            <w:r>
              <w:rPr>
                <w:b w:val="false"/>
                <w:bCs w:val="false"/>
                <w:i w:val="false"/>
                <w:iCs w:val="false"/>
              </w:rPr>
              <w:t xml:space="preserve">Go / no-go gate at month 5 — kill cheap if PINN coefficients are uninformative.</w:t>
            </w:r>
          </w:p>
        </w:tc>
      </w:tr>
    </w:tbl>
    <w:p>
      <w:r>
        <w:br w:type="page"/>
      </w:r>
    </w:p>
    <w:p>
      <w:pPr>
        <w:pStyle w:val="Heading2"/>
      </w:pPr>
      <w:r>
        <w:t xml:space="preserve">Feasibility assessment</w:t>
      </w:r>
    </w:p>
    <w:p>
      <w:pPr>
        <w:pStyle w:val="Heading3"/>
      </w:pPr>
      <w:r>
        <w:t xml:space="preserve">Pros — why this works</w:t>
      </w:r>
    </w:p>
    <w:p>
      <w:pPr>
        <w:spacing w:after="120" w:line="320"/>
      </w:pPr>
      <w:r>
        <w:rPr>
          <w:b/>
          <w:bCs/>
          <w:i w:val="false"/>
          <w:iCs w:val="false"/>
          <w:color w:val="B85D2E"/>
        </w:rPr>
        <w:t xml:space="preserve">→  </w:t>
      </w:r>
      <w:r>
        <w:rPr>
          <w:b/>
          <w:bCs/>
          <w:i w:val="false"/>
          <w:iCs w:val="false"/>
        </w:rPr>
        <w:t xml:space="preserve">Targets a field-leader-flagged gap. </w:t>
      </w:r>
      <w:r>
        <w:rPr>
          <w:b w:val="false"/>
          <w:bCs w:val="false"/>
          <w:i w:val="false"/>
          <w:iCs w:val="false"/>
        </w:rPr>
        <w:t xml:space="preserve">Volkova has explicitly said population-level digital-twin validation is the open problem. Strong narrative for proposals to DARPA, IARPA, ONR, AFRL, or the MORS community.</w:t>
      </w:r>
    </w:p>
    <w:p>
      <w:pPr>
        <w:spacing w:after="120" w:line="320"/>
      </w:pPr>
      <w:r>
        <w:rPr>
          <w:b/>
          <w:bCs/>
          <w:i w:val="false"/>
          <w:iCs w:val="false"/>
          <w:color w:val="B85D2E"/>
        </w:rPr>
        <w:t xml:space="preserve">→  </w:t>
      </w:r>
      <w:r>
        <w:rPr>
          <w:b/>
          <w:bCs/>
          <w:i w:val="false"/>
          <w:iCs w:val="false"/>
        </w:rPr>
        <w:t xml:space="preserve">Every component has a working ancestor. </w:t>
      </w:r>
      <w:r>
        <w:rPr>
          <w:b w:val="false"/>
          <w:bCs w:val="false"/>
          <w:i w:val="false"/>
          <w:iCs w:val="false"/>
        </w:rPr>
        <w:t xml:space="preserve">SINN/OPINN for the PINN side; Generative Agents, S3, SALM for the agent side; BRIES for the persuasion-attack side; Hackenburg for the experimental design template.</w:t>
      </w:r>
    </w:p>
    <w:p>
      <w:pPr>
        <w:spacing w:after="120" w:line="320"/>
      </w:pPr>
      <w:r>
        <w:rPr>
          <w:b/>
          <w:bCs/>
          <w:i w:val="false"/>
          <w:iCs w:val="false"/>
          <w:color w:val="B85D2E"/>
        </w:rPr>
        <w:t xml:space="preserve">→  </w:t>
      </w:r>
      <w:r>
        <w:rPr>
          <w:b/>
          <w:bCs/>
          <w:i w:val="false"/>
          <w:iCs w:val="false"/>
        </w:rPr>
        <w:t xml:space="preserve">Coefficients are interpretable. </w:t>
      </w:r>
      <w:r>
        <w:rPr>
          <w:b w:val="false"/>
          <w:bCs w:val="false"/>
          <w:i w:val="false"/>
          <w:iCs w:val="false"/>
        </w:rPr>
        <w:t xml:space="preserve">Stubbornness, confidence radius, diffusion rate map onto established sociological constructs — easier to explain to reviewers, operators, and policymakers than opaque embedding-distance metrics.</w:t>
      </w:r>
    </w:p>
    <w:p>
      <w:pPr>
        <w:spacing w:after="120" w:line="320"/>
      </w:pPr>
      <w:r>
        <w:rPr>
          <w:b/>
          <w:bCs/>
          <w:i w:val="false"/>
          <w:iCs w:val="false"/>
          <w:color w:val="B85D2E"/>
        </w:rPr>
        <w:t xml:space="preserve">→  </w:t>
      </w:r>
      <w:r>
        <w:rPr>
          <w:b/>
          <w:bCs/>
          <w:i w:val="false"/>
          <w:iCs w:val="false"/>
        </w:rPr>
        <w:t xml:space="preserve">Defensive framing is native. </w:t>
      </w:r>
      <w:r>
        <w:rPr>
          <w:b w:val="false"/>
          <w:bCs w:val="false"/>
          <w:i w:val="false"/>
          <w:iCs w:val="false"/>
        </w:rPr>
        <w:t xml:space="preserve">Mirroring BRIES gives every “how do you persuade?” experiment a paired “how do you inoculate?” experiment. Aligned with the cognitive-security mission.</w:t>
      </w:r>
    </w:p>
    <w:p>
      <w:pPr>
        <w:spacing w:after="120" w:line="320"/>
      </w:pPr>
      <w:r>
        <w:rPr>
          <w:b/>
          <w:bCs/>
          <w:i w:val="false"/>
          <w:iCs w:val="false"/>
          <w:color w:val="B85D2E"/>
        </w:rPr>
        <w:t xml:space="preserve">→  </w:t>
      </w:r>
      <w:r>
        <w:rPr>
          <w:b/>
          <w:bCs/>
          <w:i w:val="false"/>
          <w:iCs w:val="false"/>
        </w:rPr>
        <w:t xml:space="preserve">Publication surface is broad. </w:t>
      </w:r>
      <w:r>
        <w:rPr>
          <w:b w:val="false"/>
          <w:bCs w:val="false"/>
          <w:i w:val="false"/>
          <w:iCs w:val="false"/>
        </w:rPr>
        <w:t xml:space="preserve">Methods venues (KDD, NeurIPS, ICLR), social science (PNAS, Nature Human Behaviour), defense (Journal of Information Warfare, I/ITSEC, MODSIM, HFES). Multi-venue paper plan is realistic.</w:t>
      </w:r>
    </w:p>
    <w:p>
      <w:pPr>
        <w:spacing w:after="120"/>
      </w:pPr>
      <w:r>
        <w:t xml:space="preserve"/>
      </w:r>
    </w:p>
    <w:p>
      <w:pPr>
        <w:pStyle w:val="Heading3"/>
      </w:pPr>
      <w:r>
        <w:t xml:space="preserve">Cons — what could break it</w:t>
      </w:r>
    </w:p>
    <w:p>
      <w:pPr>
        <w:spacing w:after="120" w:line="320"/>
      </w:pPr>
      <w:r>
        <w:rPr>
          <w:b/>
          <w:bCs/>
          <w:i w:val="false"/>
          <w:iCs w:val="false"/>
          <w:color w:val="B85D2E"/>
        </w:rPr>
        <w:t xml:space="preserve">✕  </w:t>
      </w:r>
      <w:r>
        <w:rPr>
          <w:b/>
          <w:bCs/>
          <w:i w:val="false"/>
          <w:iCs w:val="false"/>
        </w:rPr>
        <w:t xml:space="preserve">Identifiability of PINN coefficients. </w:t>
      </w:r>
      <w:r>
        <w:rPr>
          <w:b w:val="false"/>
          <w:bCs w:val="false"/>
          <w:i w:val="false"/>
          <w:iCs w:val="false"/>
        </w:rPr>
        <w:t xml:space="preserve">Different priors (FJ vs. HK vs. DCR) recover different coefficients from the same data. Mitigation: report results across priors and use ensemble fits; treat the coefficients as a family, not a point estimate.</w:t>
      </w:r>
    </w:p>
    <w:p>
      <w:pPr>
        <w:spacing w:after="120" w:line="320"/>
      </w:pPr>
      <w:r>
        <w:rPr>
          <w:b/>
          <w:bCs/>
          <w:i w:val="false"/>
          <w:iCs w:val="false"/>
          <w:color w:val="B85D2E"/>
        </w:rPr>
        <w:t xml:space="preserve">✕  </w:t>
      </w:r>
      <w:r>
        <w:rPr>
          <w:b/>
          <w:bCs/>
          <w:i w:val="false"/>
          <w:iCs w:val="false"/>
        </w:rPr>
        <w:t xml:space="preserve">Circular validation risk. </w:t>
      </w:r>
      <w:r>
        <w:rPr>
          <w:b w:val="false"/>
          <w:bCs w:val="false"/>
          <w:i w:val="false"/>
          <w:iCs w:val="false"/>
        </w:rPr>
        <w:t xml:space="preserve">If agents are tuned to match coefficients and then judged by them, the loop is tautological. Mitigation: train on first 60% of data; validate on a held-out 20% test slab and on five separate behavioral gates that the calibration never sees.</w:t>
      </w:r>
    </w:p>
    <w:p>
      <w:pPr>
        <w:spacing w:after="120" w:line="320"/>
      </w:pPr>
      <w:r>
        <w:rPr>
          <w:b/>
          <w:bCs/>
          <w:i w:val="false"/>
          <w:iCs w:val="false"/>
          <w:color w:val="B85D2E"/>
        </w:rPr>
        <w:t xml:space="preserve">✕  </w:t>
      </w:r>
      <w:r>
        <w:rPr>
          <w:b/>
          <w:bCs/>
          <w:i w:val="false"/>
          <w:iCs w:val="false"/>
        </w:rPr>
        <w:t xml:space="preserve">Individual-aggregate scale mismatch. </w:t>
      </w:r>
      <w:r>
        <w:rPr>
          <w:b w:val="false"/>
          <w:bCs w:val="false"/>
          <w:i w:val="false"/>
          <w:iCs w:val="false"/>
        </w:rPr>
        <w:t xml:space="preserve">PINN coefficients are population-level; LLM agents are individual. Bridging requires hierarchical fits and care with mean-field assumptions.</w:t>
      </w:r>
    </w:p>
    <w:p>
      <w:pPr>
        <w:spacing w:after="120" w:line="320"/>
      </w:pPr>
      <w:r>
        <w:rPr>
          <w:b/>
          <w:bCs/>
          <w:i w:val="false"/>
          <w:iCs w:val="false"/>
          <w:color w:val="B85D2E"/>
        </w:rPr>
        <w:t xml:space="preserve">✕  </w:t>
      </w:r>
      <w:r>
        <w:rPr>
          <w:b/>
          <w:bCs/>
          <w:i w:val="false"/>
          <w:iCs w:val="false"/>
        </w:rPr>
        <w:t xml:space="preserve">Data access and cost. </w:t>
      </w:r>
      <w:r>
        <w:rPr>
          <w:b w:val="false"/>
          <w:bCs w:val="false"/>
          <w:i w:val="false"/>
          <w:iCs w:val="false"/>
        </w:rPr>
        <w:t xml:space="preserve">X/Twitter API now prohibitive. Pivot to Reddit Pushshift, Bluesky firehose, Telegram public channels, Mastodon — Volkova's existing stack. Workable but less rich than X.</w:t>
      </w:r>
    </w:p>
    <w:p>
      <w:pPr>
        <w:spacing w:after="120" w:line="320"/>
      </w:pPr>
      <w:r>
        <w:rPr>
          <w:b/>
          <w:bCs/>
          <w:i w:val="false"/>
          <w:iCs w:val="false"/>
          <w:color w:val="B85D2E"/>
        </w:rPr>
        <w:t xml:space="preserve">✕  </w:t>
      </w:r>
      <w:r>
        <w:rPr>
          <w:b/>
          <w:bCs/>
          <w:i w:val="false"/>
          <w:iCs w:val="false"/>
        </w:rPr>
        <w:t xml:space="preserve">Compute envelope. </w:t>
      </w:r>
      <w:r>
        <w:rPr>
          <w:b w:val="false"/>
          <w:bCs w:val="false"/>
          <w:i w:val="false"/>
          <w:iCs w:val="false"/>
        </w:rPr>
        <w:t xml:space="preserve">~290M LLM calls across the full sweep. Mitigation: cached open-weights inference (Llama-3, Qwen, Mistral) on H100s; reserve frontier-model calls (GPT-4o, Claude Sonnet, Gemini Pro) for selected cells; budget 25% overflow buffer.</w:t>
      </w:r>
    </w:p>
    <w:p>
      <w:pPr>
        <w:spacing w:after="120" w:line="320"/>
      </w:pPr>
      <w:r>
        <w:rPr>
          <w:b/>
          <w:bCs/>
          <w:i w:val="false"/>
          <w:iCs w:val="false"/>
          <w:color w:val="B85D2E"/>
        </w:rPr>
        <w:t xml:space="preserve">✕  </w:t>
      </w:r>
      <w:r>
        <w:rPr>
          <w:b/>
          <w:bCs/>
          <w:i w:val="false"/>
          <w:iCs w:val="false"/>
        </w:rPr>
        <w:t xml:space="preserve">Dual-use exposure. </w:t>
      </w:r>
      <w:r>
        <w:rPr>
          <w:b w:val="false"/>
          <w:bCs w:val="false"/>
          <w:i w:val="false"/>
          <w:iCs w:val="false"/>
        </w:rPr>
        <w:t xml:space="preserve">Findings about “which persuasion levers cascade in echo chambers” are operationally useful to malign actors. Mitigation: defense-first framing, paired inoculation experiments published with attacks, IRB + red-team review at each milestone, staged disclosure protocol, no release of fine-tuned attack models.</w:t>
      </w:r>
    </w:p>
    <w:p>
      <w:pPr>
        <w:spacing w:after="120" w:line="320"/>
      </w:pPr>
      <w:r>
        <w:rPr>
          <w:b/>
          <w:bCs/>
          <w:i w:val="false"/>
          <w:iCs w:val="false"/>
          <w:color w:val="B85D2E"/>
        </w:rPr>
        <w:t xml:space="preserve">✕  </w:t>
      </w:r>
      <w:r>
        <w:rPr>
          <w:b/>
          <w:bCs/>
          <w:i w:val="false"/>
          <w:iCs w:val="false"/>
        </w:rPr>
        <w:t xml:space="preserve">Persuasion–accuracy tradeoff. </w:t>
      </w:r>
      <w:r>
        <w:rPr>
          <w:b w:val="false"/>
          <w:bCs w:val="false"/>
          <w:i w:val="false"/>
          <w:iCs w:val="false"/>
        </w:rPr>
        <w:t xml:space="preserve">Optimizing agent persuasion will likely produce more confident-but-wrong content. This is a finding, not just a risk — report it openly.</w:t>
      </w:r>
    </w:p>
    <w:p>
      <w:pPr>
        <w:spacing w:after="120" w:line="320"/>
      </w:pPr>
      <w:r>
        <w:rPr>
          <w:b/>
          <w:bCs/>
          <w:i w:val="false"/>
          <w:iCs w:val="false"/>
          <w:color w:val="B85D2E"/>
        </w:rPr>
        <w:t xml:space="preserve">✕  </w:t>
      </w:r>
      <w:r>
        <w:rPr>
          <w:b/>
          <w:bCs/>
          <w:i w:val="false"/>
          <w:iCs w:val="false"/>
        </w:rPr>
        <w:t xml:space="preserve">LLM persona stability over long horizons. </w:t>
      </w:r>
      <w:r>
        <w:rPr>
          <w:b w:val="false"/>
          <w:bCs w:val="false"/>
          <w:i w:val="false"/>
          <w:iCs w:val="false"/>
        </w:rPr>
        <w:t xml:space="preserve">Documented drift in extended agent simulations (SALM, 2025). Mitigation: personality-vector consistency check every N timesteps; reset on threshold breach.</w:t>
      </w:r>
    </w:p>
    <w:p>
      <w:pPr>
        <w:spacing w:after="120"/>
      </w:pPr>
      <w:r>
        <w:t xml:space="preserve"/>
      </w:r>
    </w:p>
    <w:p>
      <w:pPr>
        <w:pStyle w:val="Heading2"/>
      </w:pPr>
      <w:r>
        <w:t xml:space="preserve">Phased research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5080"/>
      </w:tblGrid>
      <w:tr>
        <w:trPr>
          <w:tblHeader/>
        </w:trPr>
        <w:tc>
          <w:tcPr>
            <w:tcW w:type="dxa" w:w="8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color w:val="FFFFFF"/>
              </w:rPr>
              <w:t xml:space="preserve">#</w:t>
            </w:r>
          </w:p>
        </w:tc>
        <w:tc>
          <w:tcPr>
            <w:tcW w:type="dxa" w:w="28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Phase</w:t>
            </w:r>
          </w:p>
        </w:tc>
        <w:tc>
          <w:tcPr>
            <w:tcW w:type="dxa" w:w="14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Window</w:t>
            </w:r>
          </w:p>
        </w:tc>
        <w:tc>
          <w:tcPr>
            <w:tcW w:type="dxa" w:w="50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color w:val="FFFFFF"/>
              </w:rPr>
              <w:t xml:space="preserve">Activities &amp; deliverables</w:t>
            </w:r>
          </w:p>
        </w:tc>
      </w:tr>
      <w:tr>
        <w:tc>
          <w:tcPr>
            <w:tcW w:type="dxa" w:w="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00</w:t>
            </w:r>
          </w:p>
        </w:tc>
        <w:tc>
          <w:tcPr>
            <w:tcW w:type="dxa" w:w="2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Scoping &amp; data acquisition</w:t>
            </w:r>
          </w:p>
        </w:tc>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M1–M2</w:t>
            </w:r>
          </w:p>
        </w:tc>
        <w:tc>
          <w:tcPr>
            <w:tcW w:type="dxa" w:w="5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Pick 3 polarized topic cases with high activity and a known external shock. Pull longitudinal Reddit/Bluesky/Telegram data; run quality gates.</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01</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PINN fit &amp; coefficient extraction</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M2–M5</w:t>
            </w:r>
          </w:p>
        </w:tc>
        <w:tc>
          <w:tcPr>
            <w:tcW w:type="dxa" w:w="5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Implement SINN baseline; add OPINN-style DCR variant. Per community: extract coefficients with bootstrap CIs across the three priors.</w:t>
            </w:r>
          </w:p>
        </w:tc>
      </w:tr>
      <w:tr>
        <w:tc>
          <w:tcPr>
            <w:tcW w:type="dxa" w:w="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02</w:t>
            </w:r>
          </w:p>
        </w:tc>
        <w:tc>
          <w:tcPr>
            <w:tcW w:type="dxa" w:w="2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Go / no-go review</w:t>
            </w:r>
          </w:p>
        </w:tc>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M5</w:t>
            </w:r>
          </w:p>
        </w:tc>
        <w:tc>
          <w:tcPr>
            <w:tcW w:type="dxa" w:w="5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Stage A pilot review. Kill criterion: if coefficient ranges fully overlap across communities of known different polarization, the metric is too coarse — pivot or stop.</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03</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Agentic audience &amp; calibration</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M5–M9</w:t>
            </w:r>
          </w:p>
        </w:tc>
        <w:tc>
          <w:tcPr>
            <w:tcW w:type="dxa" w:w="5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Build 200–1,000-agent LLM simulation. Tune persona priors and rewiring policy until coefficients land within real-data CIs on the five held-out behavioral gates.</w:t>
            </w:r>
          </w:p>
        </w:tc>
      </w:tr>
      <w:tr>
        <w:tc>
          <w:tcPr>
            <w:tcW w:type="dxa" w:w="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04</w:t>
            </w:r>
          </w:p>
        </w:tc>
        <w:tc>
          <w:tcPr>
            <w:tcW w:type="dxa" w:w="2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Persuasion-lever sweep</w:t>
            </w:r>
          </w:p>
        </w:tc>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M9–M13</w:t>
            </w:r>
          </w:p>
        </w:tc>
        <w:tc>
          <w:tcPr>
            <w:tcW w:type="dxa" w:w="5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Hackenburg-style factorial inside the chamber: post-training × prompting × persuader network position. 160 cells × 30 reps.</w:t>
            </w:r>
          </w:p>
        </w:tc>
      </w:tr>
      <w:tr>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color w:val="B85D2E"/>
              </w:rPr>
              <w:t xml:space="preserve">05</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rPr>
              <w:t xml:space="preserve">Inoculation (BRIES-mirror)</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M12–M16</w:t>
            </w:r>
          </w:p>
        </w:tc>
        <w:tc>
          <w:tcPr>
            <w:tcW w:type="dxa" w:w="5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rPr>
              <w:t xml:space="preserve">Per-lever defense: pre-bunk, friction injection, structural rewiring. Causal counterfactual evaluation.</w:t>
            </w:r>
          </w:p>
        </w:tc>
      </w:tr>
      <w:tr>
        <w:tc>
          <w:tcPr>
            <w:tcW w:type="dxa" w:w="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color w:val="B85D2E"/>
              </w:rPr>
              <w:t xml:space="preserve">06</w:t>
            </w:r>
          </w:p>
        </w:tc>
        <w:tc>
          <w:tcPr>
            <w:tcW w:type="dxa" w:w="28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rPr>
              <w:t xml:space="preserve">Write-up, release, transition</w:t>
            </w:r>
          </w:p>
        </w:tc>
        <w:tc>
          <w:tcPr>
            <w:tcW w:type="dxa" w:w="1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M14–M18</w:t>
            </w:r>
          </w:p>
        </w:tc>
        <w:tc>
          <w:tcPr>
            <w:tcW w:type="dxa" w:w="5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rPr>
              <w:t xml:space="preserve">Three-paper plan: methods (KDD/NeurIPS); findings (PNAS/Nature HB); defense (J. Information Warfare / I/ITSEC / MODSIM). Open-source toolkit.</w:t>
            </w:r>
          </w:p>
        </w:tc>
      </w:tr>
    </w:tbl>
    <w:p>
      <w:pPr>
        <w:spacing w:after="120"/>
      </w:pPr>
      <w:r>
        <w:t xml:space="preserve"/>
      </w:r>
    </w:p>
    <w:p>
      <w:pPr>
        <w:pStyle w:val="Heading2"/>
      </w:pPr>
      <w:r>
        <w:t xml:space="preserve">What to ask for</w:t>
      </w:r>
    </w:p>
    <w:p>
      <w:pPr>
        <w:spacing w:after="120" w:line="320"/>
      </w:pPr>
      <w:r>
        <w:rPr>
          <w:b w:val="false"/>
          <w:bCs w:val="false"/>
          <w:i w:val="false"/>
          <w:iCs w:val="false"/>
        </w:rPr>
        <w:t xml:space="preserve">If the response is positive, the cheapest next step is a four-month Stage A pilot — fit the PINN on Reddit data for one polarized topic-case and check whether the extracted coefficients are stable across priors and discriminative across communities. Kill criterion: if coefficients fully overlap across communities of known different polarization, stop. If not, scale to the full program. Estimated pilot cost: </w:t>
      </w:r>
      <w:r>
        <w:rPr>
          <w:b/>
          <w:bCs/>
          <w:i w:val="false"/>
          <w:iCs w:val="false"/>
          <w:color w:val="B85D2E"/>
        </w:rPr>
        <w:t xml:space="preserve">≈ $80k</w:t>
      </w:r>
      <w:r>
        <w:rPr>
          <w:b w:val="false"/>
          <w:bCs w:val="false"/>
          <w:i w:val="false"/>
          <w:iCs w:val="false"/>
        </w:rPr>
        <w:t xml:space="preserve"> (one ML engineer for four months plus minimal compute), and the deliverable is a go/no-go memo with the coefficient tables.</w:t>
      </w:r>
    </w:p>
    <w:p>
      <w:pPr>
        <w:spacing w:after="120" w:line="320"/>
      </w:pPr>
      <w:r>
        <w:rPr>
          <w:b w:val="false"/>
          <w:bCs w:val="false"/>
          <w:i w:val="false"/>
          <w:iCs w:val="false"/>
        </w:rPr>
        <w:t xml:space="preserve">Concrete asks for the meeting:</w:t>
      </w:r>
    </w:p>
    <w:p>
      <w:pPr>
        <w:pStyle w:val="ListParagraph"/>
        <w:numPr>
          <w:ilvl w:val="0"/>
          <w:numId w:val="3"/>
        </w:numPr>
        <w:spacing w:after="80" w:line="300"/>
      </w:pPr>
      <w:r>
        <w:t xml:space="preserve">Approval to scope a 4-month Stage A pilot.</w:t>
      </w:r>
    </w:p>
    <w:p>
      <w:pPr>
        <w:pStyle w:val="ListParagraph"/>
        <w:numPr>
          <w:ilvl w:val="0"/>
          <w:numId w:val="3"/>
        </w:numPr>
        <w:spacing w:after="80" w:line="300"/>
      </w:pPr>
      <w:r>
        <w:t xml:space="preserve">Confirmation that we should target a Volkova-aligned sponsor (DARPA, IARPA, ONR, AFRL) versus a pure-academic venue.</w:t>
      </w:r>
    </w:p>
    <w:p>
      <w:pPr>
        <w:pStyle w:val="ListParagraph"/>
        <w:numPr>
          <w:ilvl w:val="0"/>
          <w:numId w:val="3"/>
        </w:numPr>
        <w:spacing w:after="80" w:line="300"/>
      </w:pPr>
      <w:r>
        <w:t xml:space="preserve">A pointer to whoever owns IRB and red-team review, since dual-use framing has to be in place from day one.</w:t>
      </w:r>
    </w:p>
    <w:p>
      <w:pPr>
        <w:pStyle w:val="ListParagraph"/>
        <w:numPr>
          <w:ilvl w:val="0"/>
          <w:numId w:val="3"/>
        </w:numPr>
        <w:spacing w:after="80" w:line="300"/>
      </w:pPr>
      <w:r>
        <w:t xml:space="preserve">A decision on whether to reach out to Volkova's group at Aptima for a possible collaboration or letter of support — the alignment is strong enough that it would meaningfully strengthen any proposal.</w:t>
      </w:r>
    </w:p>
    <w:p>
      <w:r>
        <w:br w:type="page"/>
      </w:r>
    </w:p>
    <w:p>
      <w:pPr>
        <w:pStyle w:val="Heading2"/>
      </w:pPr>
      <w:r>
        <w:t xml:space="preserve">References</w:t>
      </w:r>
    </w:p>
    <w:p>
      <w:pPr>
        <w:pStyle w:val="Heading3"/>
      </w:pPr>
      <w:r>
        <w:t xml:space="preserve">Anchor papers</w:t>
      </w:r>
    </w:p>
    <w:p>
      <w:pPr>
        <w:spacing w:after="120" w:line="320"/>
      </w:pPr>
      <w:r>
        <w:rPr>
          <w:b/>
          <w:bCs/>
          <w:i w:val="false"/>
          <w:iCs w:val="false"/>
        </w:rPr>
        <w:t xml:space="preserve">Hackenburg, K., Tappin, B. M., Hewitt, L., Saunders, E., Black, S., Lin, H., Fist, C., Margetts, H., Rand, D. G., &amp; Summerfield, C. </w:t>
      </w:r>
      <w:r>
        <w:rPr>
          <w:b w:val="false"/>
          <w:bCs w:val="false"/>
          <w:i w:val="false"/>
          <w:iCs w:val="false"/>
        </w:rPr>
        <w:t xml:space="preserve">(2025). The levers of political persuasion with conversational artificial intelligence. </w:t>
      </w:r>
      <w:r>
        <w:rPr>
          <w:b w:val="false"/>
          <w:bCs w:val="false"/>
          <w:i/>
          <w:iCs/>
        </w:rPr>
        <w:t xml:space="preserve">Science</w:t>
      </w:r>
      <w:r>
        <w:rPr>
          <w:b w:val="false"/>
          <w:bCs w:val="false"/>
          <w:i w:val="false"/>
          <w:iCs w:val="false"/>
        </w:rPr>
        <w:t xml:space="preserve">, 390(6777), eaea3884. doi:10.1126/science.aea3884.</w:t>
      </w:r>
    </w:p>
    <w:p>
      <w:pPr>
        <w:spacing w:after="120" w:line="320"/>
      </w:pPr>
      <w:r>
        <w:rPr>
          <w:b/>
          <w:bCs/>
          <w:i w:val="false"/>
          <w:iCs w:val="false"/>
        </w:rPr>
        <w:t xml:space="preserve">Volkova, S., Dupree, W., Kao, H.-T., Bautista, P., Ganberg, G., Beaubien, J., &amp; Cassani, L. </w:t>
      </w:r>
      <w:r>
        <w:rPr>
          <w:b w:val="false"/>
          <w:bCs w:val="false"/>
          <w:i w:val="false"/>
          <w:iCs w:val="false"/>
        </w:rPr>
        <w:t xml:space="preserve">(2025). Proactive Defense: Compound AI for Detecting Persuasion Attacks and Measuring Inoculation Effectiveness (BRIES). </w:t>
      </w:r>
      <w:r>
        <w:rPr>
          <w:b w:val="false"/>
          <w:bCs w:val="false"/>
          <w:i/>
          <w:iCs/>
        </w:rPr>
        <w:t xml:space="preserve">arXiv:2511.21749</w:t>
      </w:r>
      <w:r>
        <w:rPr>
          <w:b w:val="false"/>
          <w:bCs w:val="false"/>
          <w:i w:val="false"/>
          <w:iCs w:val="false"/>
        </w:rPr>
        <w:t xml:space="preserve">.</w:t>
      </w:r>
    </w:p>
    <w:p>
      <w:pPr>
        <w:spacing w:after="120" w:line="320"/>
      </w:pPr>
      <w:r>
        <w:rPr>
          <w:b/>
          <w:bCs/>
          <w:i w:val="false"/>
          <w:iCs w:val="false"/>
        </w:rPr>
        <w:t xml:space="preserve">Okawa, M. &amp; Iwata, T. </w:t>
      </w:r>
      <w:r>
        <w:rPr>
          <w:b w:val="false"/>
          <w:bCs w:val="false"/>
          <w:i w:val="false"/>
          <w:iCs w:val="false"/>
        </w:rPr>
        <w:t xml:space="preserve">(2022). Predicting Opinion Dynamics via Sociologically-Informed Neural Networks. </w:t>
      </w:r>
      <w:r>
        <w:rPr>
          <w:b w:val="false"/>
          <w:bCs w:val="false"/>
          <w:i/>
          <w:iCs/>
        </w:rPr>
        <w:t xml:space="preserve">Proceedings of the 28th ACM SIGKDD Conference on Knowledge Discovery and Data Mining (KDD '22)</w:t>
      </w:r>
      <w:r>
        <w:rPr>
          <w:b w:val="false"/>
          <w:bCs w:val="false"/>
          <w:i w:val="false"/>
          <w:iCs w:val="false"/>
        </w:rPr>
        <w:t xml:space="preserve">.</w:t>
      </w:r>
    </w:p>
    <w:p>
      <w:pPr>
        <w:spacing w:after="120"/>
      </w:pPr>
      <w:r>
        <w:t xml:space="preserve"/>
      </w:r>
    </w:p>
    <w:p>
      <w:pPr>
        <w:pStyle w:val="Heading3"/>
      </w:pPr>
      <w:r>
        <w:t xml:space="preserve">Volkova lineage (from your slides)</w:t>
      </w:r>
    </w:p>
    <w:p>
      <w:pPr>
        <w:spacing w:after="120" w:line="320"/>
      </w:pPr>
      <w:r>
        <w:rPr>
          <w:b w:val="false"/>
          <w:bCs w:val="false"/>
          <w:i w:val="false"/>
          <w:iCs w:val="false"/>
        </w:rPr>
        <w:t xml:space="preserve">Volkova, S. et al. (2023). Explaining and predicting human behavior and social dynamics in simulated virtual worlds: reproducibility, generalizability, and robustness of causal discovery methods. Computational and Mathematical Organization Theory, 29(1), 226–241.</w:t>
      </w:r>
    </w:p>
    <w:p>
      <w:pPr>
        <w:spacing w:after="120" w:line="320"/>
      </w:pPr>
      <w:r>
        <w:rPr>
          <w:b w:val="false"/>
          <w:bCs w:val="false"/>
          <w:i w:val="false"/>
          <w:iCs w:val="false"/>
        </w:rPr>
        <w:t xml:space="preserve">Volkova, S., Glenski, M., Ayton, E., Saldanha, E., Mendoza, J., Arendt, D., Shaw, Z., &amp; Smith, K. S. (2021). Machine intelligence to detect, characterize, and defend against influence operations. Journal of Information Warfare, 20(2), 42–66.</w:t>
      </w:r>
    </w:p>
    <w:p>
      <w:pPr>
        <w:spacing w:after="120" w:line="320"/>
      </w:pPr>
      <w:r>
        <w:rPr>
          <w:b w:val="false"/>
          <w:bCs w:val="false"/>
          <w:i w:val="false"/>
          <w:iCs w:val="false"/>
        </w:rPr>
        <w:t xml:space="preserve">Cohen, M., …, &amp; Volkova, S. (2025). Exploring Big Five personality and AI capability effects in LLM-simulated negotiation dialogues. KDD Workshop on Agentic and Generative AI Evaluation.</w:t>
      </w:r>
    </w:p>
    <w:p>
      <w:pPr>
        <w:spacing w:after="120" w:line="320"/>
      </w:pPr>
      <w:r>
        <w:rPr>
          <w:b w:val="false"/>
          <w:bCs w:val="false"/>
          <w:i w:val="false"/>
          <w:iCs w:val="false"/>
        </w:rPr>
        <w:t xml:space="preserve">Volkova, S., Cassani, L. et al. (2025). Compound AI for decision advantage: Human digital twin agent teams in military operations. 17th MODSIM World Conference.</w:t>
      </w:r>
    </w:p>
    <w:p>
      <w:pPr>
        <w:spacing w:after="120" w:line="320"/>
      </w:pPr>
      <w:r>
        <w:rPr>
          <w:b w:val="false"/>
          <w:bCs w:val="false"/>
          <w:i w:val="false"/>
          <w:iCs w:val="false"/>
        </w:rPr>
        <w:t xml:space="preserve">Volkova, S., Kao, H., Penafiel, L., Nguyen, D., Cohen, M. et al. (2025). VirTLab-Eval: Human-AI team and human digital twin performance evaluation. HFES 2025.</w:t>
      </w:r>
    </w:p>
    <w:p>
      <w:pPr>
        <w:spacing w:after="120" w:line="320"/>
      </w:pPr>
      <w:r>
        <w:rPr>
          <w:b w:val="false"/>
          <w:bCs w:val="false"/>
          <w:i w:val="false"/>
          <w:iCs w:val="false"/>
        </w:rPr>
        <w:t xml:space="preserve">Rashkin, H., Choi, E., Jang, J. Y., Choi, Y., &amp; Volkova, S. (2017). Truth of varying shades: On political fact-checking and fake news. EMNLP 2017.</w:t>
      </w:r>
    </w:p>
    <w:p>
      <w:pPr>
        <w:spacing w:after="120" w:line="320"/>
      </w:pPr>
      <w:r>
        <w:rPr>
          <w:b w:val="false"/>
          <w:bCs w:val="false"/>
          <w:i w:val="false"/>
          <w:iCs w:val="false"/>
        </w:rPr>
        <w:t xml:space="preserve">Cassani, L., Davinroy, M., Toumbeva, T., …, Volkova, S. (2025). Human-AI collaboration for synthetic media detection in training and operations. I/ITSEC 2025.</w:t>
      </w:r>
    </w:p>
    <w:p>
      <w:pPr>
        <w:spacing w:after="120"/>
      </w:pPr>
      <w:r>
        <w:t xml:space="preserve"/>
      </w:r>
    </w:p>
    <w:p>
      <w:pPr>
        <w:pStyle w:val="Heading3"/>
      </w:pPr>
      <w:r>
        <w:t xml:space="preserve">Persuasion datasets &amp; ground-truth corpora</w:t>
      </w:r>
    </w:p>
    <w:p>
      <w:pPr>
        <w:spacing w:after="120" w:line="320"/>
      </w:pPr>
      <w:r>
        <w:rPr>
          <w:b w:val="false"/>
          <w:bCs w:val="false"/>
          <w:i w:val="false"/>
          <w:iCs w:val="false"/>
        </w:rPr>
        <w:t xml:space="preserve">Tan, C., Niculae, V., Danescu-Niculescu-Mizil, C., &amp; Lee, L. (2016). Winning Arguments: Interaction Dynamics and Persuasion Strategies in Good-faith Online Discussions. Proceedings of the 25th International World Wide Web Conference (WWW '16). [r/ChangeMyView Δ-labeled corpus, 3,051 conversations]</w:t>
      </w:r>
    </w:p>
    <w:p>
      <w:pPr>
        <w:spacing w:after="120" w:line="320"/>
      </w:pPr>
      <w:r>
        <w:rPr>
          <w:b w:val="false"/>
          <w:bCs w:val="false"/>
          <w:i w:val="false"/>
          <w:iCs w:val="false"/>
        </w:rPr>
        <w:t xml:space="preserve">Durmus, E. et al. / Anthropic (2024). Measuring the persuasiveness of language models. Anthropic/persuasion dataset, HuggingFace.</w:t>
      </w:r>
    </w:p>
    <w:p>
      <w:pPr>
        <w:spacing w:after="120" w:line="320"/>
      </w:pPr>
      <w:r>
        <w:rPr>
          <w:b w:val="false"/>
          <w:bCs w:val="false"/>
          <w:i w:val="false"/>
          <w:iCs w:val="false"/>
        </w:rPr>
        <w:t xml:space="preserve">Iordan, M. et al. (2026). Brexit Means Brexit: Selection Bias, Echo Chambers, and Entrenched Opinion on Reddit. arXiv:2603.07509. [r/BREXIT longitudinal corpus, 871k submissions, 5,895 labeled across 27 time periods, IAA 0.804]</w:t>
      </w:r>
    </w:p>
    <w:p>
      <w:pPr>
        <w:spacing w:after="120" w:line="320"/>
      </w:pPr>
      <w:r>
        <w:rPr>
          <w:b w:val="false"/>
          <w:bCs w:val="false"/>
          <w:i w:val="false"/>
          <w:iCs w:val="false"/>
        </w:rPr>
        <w:t xml:space="preserve">Mehta, R. et al. (2024). Scope of Large Language Models for Mining Emerging Opinions in Online Health Discourse. arXiv:2403.03336. [LC-Stance: 400 (title, comment) pairs from r/covidlonghaulers]</w:t>
      </w:r>
    </w:p>
    <w:p>
      <w:pPr>
        <w:spacing w:after="120" w:line="320"/>
      </w:pPr>
      <w:r>
        <w:rPr>
          <w:b w:val="false"/>
          <w:bCs w:val="false"/>
          <w:i w:val="false"/>
          <w:iCs w:val="false"/>
        </w:rPr>
        <w:t xml:space="preserve">Singh, S. et al. (2024). Measuring And Improving Persuasiveness Of Large Language Models. arXiv:2410.02653. [PersuasionBench, PersuasionArena]</w:t>
      </w:r>
    </w:p>
    <w:p>
      <w:pPr>
        <w:spacing w:after="120" w:line="320"/>
      </w:pPr>
      <w:r>
        <w:rPr>
          <w:b w:val="false"/>
          <w:bCs w:val="false"/>
          <w:i w:val="false"/>
          <w:iCs w:val="false"/>
        </w:rPr>
        <w:t xml:space="preserve">Mohammad, S. et al. (2016). SemEval-2016 Task 6: Detecting Stance in Tweets.</w:t>
      </w:r>
    </w:p>
    <w:p>
      <w:pPr>
        <w:spacing w:after="120" w:line="320"/>
      </w:pPr>
      <w:r>
        <w:rPr>
          <w:b w:val="false"/>
          <w:bCs w:val="false"/>
          <w:i w:val="false"/>
          <w:iCs w:val="false"/>
        </w:rPr>
        <w:t xml:space="preserve">Salvi, F. et al. (2024). On the Conversational Persuasiveness of Large Language Models: A Randomized Controlled Trial.</w:t>
      </w:r>
    </w:p>
    <w:p>
      <w:pPr>
        <w:spacing w:after="120" w:line="320"/>
      </w:pPr>
      <w:r>
        <w:rPr>
          <w:b w:val="false"/>
          <w:bCs w:val="false"/>
          <w:i w:val="false"/>
          <w:iCs w:val="false"/>
        </w:rPr>
        <w:t xml:space="preserve">Costello et al. (2024). Durably reducing conspiracy beliefs through dialogues with AI. Science.</w:t>
      </w:r>
    </w:p>
    <w:p>
      <w:pPr>
        <w:spacing w:after="120"/>
      </w:pPr>
      <w:r>
        <w:t xml:space="preserve"/>
      </w:r>
    </w:p>
    <w:p>
      <w:pPr>
        <w:pStyle w:val="Heading3"/>
      </w:pPr>
      <w:r>
        <w:t xml:space="preserve">PINN for opinion / social dynamics</w:t>
      </w:r>
    </w:p>
    <w:p>
      <w:pPr>
        <w:spacing w:after="120" w:line="320"/>
      </w:pPr>
      <w:r>
        <w:rPr>
          <w:b w:val="false"/>
          <w:bCs w:val="false"/>
          <w:i w:val="false"/>
          <w:iCs w:val="false"/>
        </w:rPr>
        <w:t xml:space="preserve">Gong, C. et al. (2026). Advancing Opinion Dynamics Modeling with Neural Diffusion-Convection-Reaction Equation (OPINN). arXiv:2602.05403.</w:t>
      </w:r>
    </w:p>
    <w:p>
      <w:pPr>
        <w:spacing w:after="120" w:line="320"/>
      </w:pPr>
      <w:r>
        <w:rPr>
          <w:b w:val="false"/>
          <w:bCs w:val="false"/>
          <w:i w:val="false"/>
          <w:iCs w:val="false"/>
        </w:rPr>
        <w:t xml:space="preserve">Wang, Y. &amp; Li, X. (2024). A neural probabilistic bounded confidence model for opinion dynamics on social networks. Expert Systems with Applications.</w:t>
      </w:r>
    </w:p>
    <w:p>
      <w:pPr>
        <w:spacing w:after="120" w:line="320"/>
      </w:pPr>
      <w:r>
        <w:rPr>
          <w:b w:val="false"/>
          <w:bCs w:val="false"/>
          <w:i w:val="false"/>
          <w:iCs w:val="false"/>
        </w:rPr>
        <w:t xml:space="preserve">Lv, O. et al. (2023). A Unified View on Neural Message Passing with Opinion Dynamics for Social Networks (ODNet). arXiv:2310.01272.</w:t>
      </w:r>
    </w:p>
    <w:p>
      <w:pPr>
        <w:spacing w:after="120" w:line="320"/>
      </w:pPr>
      <w:r>
        <w:rPr>
          <w:b w:val="false"/>
          <w:bCs w:val="false"/>
          <w:i w:val="false"/>
          <w:iCs w:val="false"/>
        </w:rPr>
        <w:t xml:space="preserve">Raissi, M., Perdikaris, P., &amp; Karniadakis, G. E. (2019). Physics-informed neural networks: a deep learning framework for solving forward and inverse problems involving nonlinear PDEs. Journal of Computational Physics, 378, 686–707.</w:t>
      </w:r>
    </w:p>
    <w:p>
      <w:pPr>
        <w:spacing w:after="120"/>
      </w:pPr>
      <w:r>
        <w:t xml:space="preserve"/>
      </w:r>
    </w:p>
    <w:p>
      <w:pPr>
        <w:pStyle w:val="Heading3"/>
      </w:pPr>
      <w:r>
        <w:t xml:space="preserve">LLM agentic social simulation</w:t>
      </w:r>
    </w:p>
    <w:p>
      <w:pPr>
        <w:spacing w:after="120" w:line="320"/>
      </w:pPr>
      <w:r>
        <w:rPr>
          <w:b w:val="false"/>
          <w:bCs w:val="false"/>
          <w:i w:val="false"/>
          <w:iCs w:val="false"/>
        </w:rPr>
        <w:t xml:space="preserve">Park, J. S. et al. (2023). Generative Agents: Interactive Simulacra of Human Behavior. UIST '23.</w:t>
      </w:r>
    </w:p>
    <w:p>
      <w:pPr>
        <w:spacing w:after="120" w:line="320"/>
      </w:pPr>
      <w:r>
        <w:rPr>
          <w:b w:val="false"/>
          <w:bCs w:val="false"/>
          <w:i w:val="false"/>
          <w:iCs w:val="false"/>
        </w:rPr>
        <w:t xml:space="preserve">Wang, C., Liu, Z., Yang, D., Chen, X. (2025). Decoding Echo Chambers: LLM-Powered Simulations Revealing Polarization in Social Networks. COLING 2025.</w:t>
      </w:r>
    </w:p>
    <w:p>
      <w:pPr>
        <w:spacing w:after="120" w:line="320"/>
      </w:pPr>
      <w:r>
        <w:rPr>
          <w:b w:val="false"/>
          <w:bCs w:val="false"/>
          <w:i w:val="false"/>
          <w:iCs w:val="false"/>
        </w:rPr>
        <w:t xml:space="preserve">SALM (2025). A Multi-Agent Framework for Language Model-Driven Social Network Simulation. arXiv:2505.09081.</w:t>
      </w:r>
    </w:p>
    <w:p>
      <w:pPr>
        <w:spacing w:after="120" w:line="320"/>
      </w:pPr>
      <w:r>
        <w:rPr>
          <w:b w:val="false"/>
          <w:bCs w:val="false"/>
          <w:i w:val="false"/>
          <w:iCs w:val="false"/>
        </w:rPr>
        <w:t xml:space="preserve">Large Language Model Driven Agents for Simulating Echo Chamber Formation (2025). arXiv:2502.18138.</w:t>
      </w:r>
    </w:p>
    <w:p>
      <w:pPr>
        <w:spacing w:after="120" w:line="320"/>
      </w:pPr>
      <w:r>
        <w:rPr>
          <w:b w:val="false"/>
          <w:bCs w:val="false"/>
          <w:i w:val="false"/>
          <w:iCs w:val="false"/>
        </w:rPr>
        <w:t xml:space="preserve">Hullman et al. (2025). Validating LLM simulations as behavioral evidence.</w:t>
      </w:r>
    </w:p>
    <w:p>
      <w:pPr>
        <w:spacing w:after="120" w:line="320"/>
      </w:pPr>
      <w:r>
        <w:rPr>
          <w:b w:val="false"/>
          <w:bCs w:val="false"/>
          <w:i w:val="false"/>
          <w:iCs w:val="false"/>
        </w:rPr>
        <w:t xml:space="preserve">Cinelli, M. et al. (2021). The echo chamber effect on social media. PNAS, 118(9), e2023301118.</w:t>
      </w:r>
    </w:p>
    <w:p>
      <w:pPr>
        <w:spacing w:after="120"/>
      </w:pPr>
      <w:r>
        <w:t xml:space="preserve"/>
      </w:r>
    </w:p>
    <w:p>
      <w:pPr>
        <w:pStyle w:val="Heading3"/>
      </w:pPr>
      <w:r>
        <w:t xml:space="preserve">Press / interview</w:t>
      </w:r>
    </w:p>
    <w:p>
      <w:pPr>
        <w:spacing w:after="120" w:line="320"/>
      </w:pPr>
      <w:r>
        <w:rPr>
          <w:b w:val="false"/>
          <w:bCs w:val="false"/>
          <w:i w:val="false"/>
          <w:iCs w:val="false"/>
        </w:rPr>
        <w:t xml:space="preserve">Military.com (March 2026). “Cognitive Warfare and the Modeling of Human Behavior.” Interview with Dr. Svitlana Volkova, Chief of AI, Aptima.</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5040"/>
        <w:tab w:val="right" w:pos="10080"/>
      </w:tabs>
      <w:spacing w:before="60"/>
      <w:jc w:val="left"/>
    </w:pPr>
    <w:r>
      <w:rPr>
        <w:i/>
        <w:iCs/>
        <w:color w:val="595959"/>
        <w:sz w:val="16"/>
        <w:szCs w:val="16"/>
      </w:rPr>
      <w:t xml:space="preserve">Working draft — internal use only</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sz w:val="16"/>
        <w:szCs w:val="16"/>
      </w:rPr>
      <w:t xml:space="preserve">	</w:t>
    </w:r>
    <w:r>
      <w:rPr>
        <w:color w:val="595959"/>
        <w:sz w:val="16"/>
        <w:szCs w:val="16"/>
      </w:rPr>
      <w:t xml:space="preserve">Compiled 27 Apr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D2E" w:sz="6" w:space="4"/>
      </w:pBdr>
      <w:tabs>
        <w:tab w:val="right" w:pos="10080"/>
      </w:tabs>
      <w:spacing w:after="60"/>
      <w:jc w:val="left"/>
    </w:pPr>
    <w:r>
      <w:rPr>
        <w:b/>
        <w:bCs/>
        <w:color w:val="B85D2E"/>
        <w:sz w:val="18"/>
        <w:szCs w:val="18"/>
      </w:rPr>
      <w:t xml:space="preserve">PNEC-003</w:t>
    </w:r>
    <w:r>
      <w:rPr>
        <w:color w:val="595959"/>
        <w:sz w:val="18"/>
        <w:szCs w:val="18"/>
      </w:rPr>
      <w:t xml:space="preserve">   ·   Persuasion in Networked Echo Chambers</w:t>
    </w:r>
    <w:r>
      <w:rPr>
        <w:sz w:val="18"/>
        <w:szCs w:val="18"/>
      </w:rPr>
      <w:t xml:space="preserve">	</w:t>
    </w:r>
    <w:r>
      <w:rPr>
        <w:color w:val="595959"/>
        <w:sz w:val="18"/>
        <w:szCs w:val="18"/>
      </w:rPr>
      <w:t xml:space="preserve">Feasibility Brief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B85D2E"/>
      </w:rPr>
    </w:lvl>
  </w:abstractNum>
  <w:abstractNum w:abstractNumId="3" w15:restartNumberingAfterBreak="0">
    <w:multiLevelType w:val="hybridMultilevel"/>
    <w:lvl w:ilvl="0" w15:tentative="1">
      <w:start w:val="1"/>
      <w:numFmt w:val="decimal"/>
      <w:lvlText w:val="%1."/>
      <w:lvlJc w:val="left"/>
      <w:pPr>
        <w:ind w:left="540" w:hanging="270"/>
      </w:pPr>
      <w:rPr>
        <w:b/>
        <w:bCs/>
        <w:color w:val="B85D2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5D2E" w:sz="6" w:space="6"/>
      </w:pBdr>
      <w:spacing w:after="160" w:before="32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00" w:before="200"/>
      <w:outlineLvl w:val="2"/>
    </w:pPr>
    <w:rPr>
      <w:rFonts w:ascii="Calibri" w:cs="Calibri" w:eastAsia="Calibri" w:hAnsi="Calibri"/>
      <w:b/>
      <w:bCs/>
      <w:i/>
      <w:iCs/>
      <w:color w:val="B85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Persuasion in Networked Echo Chambers — Feasibility Brief</dc:title>
  <dc:creator>PNEC Research Program</dc:creator>
  <cp:lastModifiedBy>Un-named</cp:lastModifiedBy>
  <cp:revision>1</cp:revision>
  <dcterms:created xsi:type="dcterms:W3CDTF">2026-04-28T19:40:59.588Z</dcterms:created>
  <dcterms:modified xsi:type="dcterms:W3CDTF">2026-04-28T19:40:59.589Z</dcterms:modified>
</cp:coreProperties>
</file>

<file path=docProps/custom.xml><?xml version="1.0" encoding="utf-8"?>
<Properties xmlns="http://schemas.openxmlformats.org/officeDocument/2006/custom-properties" xmlns:vt="http://schemas.openxmlformats.org/officeDocument/2006/docPropsVTypes"/>
</file>