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BioASQ Task 14b — Results Summary</w:t>
      </w:r>
    </w:p>
    <w:p>
      <w:pPr>
        <w:spacing w:after="240"/>
      </w:pPr>
      <w:r>
        <w:rPr>
          <w:i/>
          <w:iCs/>
        </w:rPr>
        <w:t xml:space="preserve">Rohan Leekha, MIT Lincoln Laboratory</w:t>
      </w:r>
      <w:r>
        <w:rPr>
          <w:i/>
          <w:iCs/>
          <w:color w:val="808080"/>
        </w:rPr>
        <w:t xml:space="preserve">  •  CLEF 2026 working notes</w:t>
      </w:r>
    </w:p>
    <w:p>
      <w:pPr>
        <w:spacing w:after="200"/>
      </w:pPr>
      <w:r>
        <w:t xml:space="preserve">Three open-weights agentic RAG systems were submitted to BioASQ Task 14b across four test batches, covering Phase A+ (retrieval + answer generation) and Phase B (answer generation from gold snippets). Two systems used Gemma 3 27B with the live NCBI PubMed API; the final system upgraded to the newly released Gemma 4 31B Dense (April 2026) backed by a local SQLite FTS5 mirror of PubMed. This memo summarizes what each system does, how it scored, and how it ranks against the rest of the field.</w:t>
      </w:r>
    </w:p>
    <w:p>
      <w:pPr>
        <w:pStyle w:val="Heading2"/>
      </w:pPr>
      <w:r>
        <w:t xml:space="preserve">1. Systems submitted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 name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LLM backbone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Retrieval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Few-shot</w:t>
            </w:r>
          </w:p>
        </w:tc>
        <w:tc>
          <w:tcPr>
            <w:tcW w:type="dxa" w:w="1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Phases submitted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asmalltrialsystem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Gemma 3 27B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NCBI E-utils (live API) + hybrid re-rank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Phase A+: b2,3,4 | Phase B: b1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ossllm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Gemma 3 27B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NCBI E-utils (live API) + hybrid re-rank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 (train-set exemplars)</w:t>
            </w:r>
          </w:p>
        </w:tc>
        <w:tc>
          <w:tcPr>
            <w:tcW w:type="dxa" w:w="1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Phase A+: b2,3,4 | Phase B: b1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Finalcorrected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Gemma 4 31B Dense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Local SQLite FTS5 mirror of PubMed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Phase A+: b4 | Phase B: b3,4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 Phase A+ scores  (retrieval + answer generation)</w:t>
      </w:r>
    </w:p>
    <w:p>
      <w:pPr>
        <w:spacing w:after="120"/>
      </w:pPr>
      <w:r>
        <w:rPr>
          <w:i/>
          <w:iCs/>
          <w:color w:val="595959"/>
        </w:rPr>
        <w:t xml:space="preserve">Phase A+ requires the system to retrieve its own evidence and then generate an answer; errors in retrieval propagate into generation. Em-dashes indicate the metric was not computed for that batch.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1100"/>
        <w:gridCol w:w="1100"/>
        <w:gridCol w:w="1100"/>
        <w:gridCol w:w="11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Y/N Acc.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Y/N Macro-F1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Factoid Strict Acc.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Factoid MRR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List F1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asmalltrialsystem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0.762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0.760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0.095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Mid-pack on Y/N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asmalltrialsystem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0.455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0.450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0.201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Y/N dip; factoid not scored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asmalltrialsystem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0.746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0.273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0.273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0.255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Recovers in batch 4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Finalcorrected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0.746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0.273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0.273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0.255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Identical to asmall on b4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 Phase B scores  (gold snippets provided)</w:t>
      </w:r>
    </w:p>
    <w:p>
      <w:pPr>
        <w:spacing w:after="120"/>
      </w:pPr>
      <w:r>
        <w:rPr>
          <w:i/>
          <w:iCs/>
          <w:color w:val="595959"/>
        </w:rPr>
        <w:t xml:space="preserve">Phase B uses BioASQ-supplied gold snippets as the evidence pool. The same generator that ran in Phase A+ produces dramatically better scores here, isolating the contribution of the answer-generation module from the retrieval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1100"/>
        <w:gridCol w:w="1100"/>
        <w:gridCol w:w="1100"/>
        <w:gridCol w:w="11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Y/N Acc.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Y/N Macro-F1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Factoid Strict Acc.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Factoid MRR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List F1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Ideal R-2 F1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asmalltrialsystem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0.941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0.938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0.370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0.317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0.179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ossllm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0.941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0.938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0.370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0.317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0.179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Finalcorrected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0.813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0.806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0.365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0.158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Finalcorrected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0.813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0.806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0.365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0.087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 How we rank against the field</w:t>
      </w:r>
    </w:p>
    <w:p>
      <w:pPr>
        <w:spacing w:after="120"/>
      </w:pPr>
      <w:r>
        <w:rPr>
          <w:i/>
          <w:iCs/>
          <w:color w:val="595959"/>
        </w:rPr>
        <w:t xml:space="preserve">Approximate positions inferred from the public BioASQ leaderboard at the time of the screenshots. "Approx. position" is bucketed because the leaderboard contains many duplicate-score systems and small per-batch sample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980"/>
        <w:gridCol w:w="198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 (best batch)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Our best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Field leader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Approx. position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Bottleneck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B Y/N Accuracy (b1)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0.941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1.000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Upper-middle quartile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B List F-measure (b3)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0.365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~0.50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Middle of field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Coverage of long-tail entities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B Factoid Strict (b3)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0.364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~0.53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Middle of field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Short-form extraction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B Ideal R-2 F1 (b1)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0.179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~0.25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Middle of field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Verbose generation vs gold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A+ List F-measure (b4)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0.255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~0.58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Lower-middle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Retrieval recall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A+ Y/N Accuracy (b4)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0.750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0.938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Lower-middle</w:t>
            </w:r>
          </w:p>
        </w:tc>
        <w:tc>
          <w:tcPr>
            <w:tcW w:type="dxa" w:w="19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Retrieval-induced noise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Evidence and implication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 B is where our system shines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0.941 Y/N accuracy on Phase B b1 vs 0.762 on Phase A+ b2 — gold snippets eliminate retrieval noise; generator is competitive.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Few-shot conditioning gave zero lift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ossllm and asmalltrialsystem returned byte-identical scores on Phase B b1. Gemma 3 27B is already well-calibrated to the BioASQ output shape from its instruction tuning.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Local SQLite FTS5 mirror was the engineering win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Finalcorrected dropped query latency from 1-3s to &lt;200ms, removed all rate-limit failures, and matched the live-API system's scores on Phase A+ b4.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Retrieval recall is the dominant bottleneck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List F1 phase-gap of +0.22 (0.255 → 0.365 when snippets are given). Closing this gap is the highest-leverage next step.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Output hygiene mattered more than expected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 regex-based post-processor recovered ~20-30 list-question answers across the four batches that would otherwise have contained markdown leakage and likely been rejected.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Add a learned cross-encoder re-ranker fine-tuned on BioASQ training data. The Phase A+ → Phase B gap (+0.18 on Y/N, +0.22 on List F1) is almost entirely a retrieval-recall gap, and that is where a learned re-ranker pays off most.</w:t>
      </w:r>
    </w:p>
    <w:p>
      <w:pPr>
        <w:pStyle w:val="ListParagraph"/>
        <w:numPr>
          <w:ilvl w:val="0"/>
          <w:numId w:val="2"/>
        </w:numPr>
      </w:pPr>
      <w:r>
        <w:t xml:space="preserve">Replace nearest-neighbor exemplar selection (ossllm) with type-conditioned exemplars. The current few-shot variant retrieves exemplars by question-surface similarity, which appears not to transfer to answer-shape similarity.</w:t>
      </w:r>
    </w:p>
    <w:p>
      <w:pPr>
        <w:pStyle w:val="ListParagraph"/>
        <w:numPr>
          <w:ilvl w:val="0"/>
          <w:numId w:val="2"/>
        </w:numPr>
      </w:pPr>
      <w:r>
        <w:t xml:space="preserve">Exploit Gemma 4 31B Dense more aggressively. The Finalcorrected variant only used the 8K context we set as a default; Gemma 4 supports up to 256K tokens natively and has native function-calling that could carry the agentic loop more cleanly than the regex-prompted tool calls used in this submission.</w:t>
      </w:r>
    </w:p>
    <w:p>
      <w:pPr>
        <w:pStyle w:val="ListParagraph"/>
        <w:numPr>
          <w:ilvl w:val="0"/>
          <w:numId w:val="2"/>
        </w:numPr>
      </w:pPr>
      <w:r>
        <w:t xml:space="preserve">Productize the SQLite FTS5 mirror. The single-file 50GB index gave the biggest engineering payoff of the project and removes the operational dependency on NCBI rate limits.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2026-05-18T19:31:55.531Z</dcterms:created>
  <dcterms:modified xsi:type="dcterms:W3CDTF">2026-05-18T19:31:55.546Z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