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Targeted Corrections for Agent4IR Paper</w:t>
      </w:r>
    </w:p>
    <w:p>
      <w:pPr>
        <w:spacing w:after="300"/>
      </w:pPr>
      <w:r>
        <w:rPr>
          <w:i/>
          <w:iCs/>
          <w:color w:val="555555"/>
          <w:sz w:val="22"/>
          <w:szCs w:val="22"/>
        </w:rPr>
        <w:t xml:space="preserve">Apply these edits to the original LaTeX. The paper is strong as-is; these are the changes with the highest return for acceptance.</w:t>
      </w:r>
    </w:p>
    <w:p>
      <w:pPr>
        <w:pStyle w:val="Heading1"/>
      </w:pPr>
      <w:r>
        <w:t xml:space="preserve">Correction 1: Add a Concrete Trace to §5.1</w:t>
      </w:r>
    </w:p>
    <w:p>
      <w:pPr>
        <w:spacing w:after="100"/>
      </w:pPr>
      <w:r>
        <w:rPr>
          <w:b/>
          <w:bCs/>
        </w:rPr>
        <w:t xml:space="preserve">Where: </w:t>
      </w:r>
      <w:r>
        <w:t xml:space="preserve">Section 5.1 “Why Agents at All?” — insert the following after the paragraph ending “...the evidence trajectory is not.” (around line 360 in the original). This is the single highest-ROI change. It makes the inspectability argument concrete instead of aspirational.</w:t>
      </w:r>
    </w:p>
    <w:p>
      <w:pPr>
        <w:spacing w:after="60"/>
      </w:pPr>
      <w:r>
        <w:rPr>
          <w:b/>
          <w:bCs/>
          <w:color w:val="006600"/>
        </w:rPr>
        <w:t xml:space="preserve">Insert this text:</w:t>
      </w:r>
    </w:p>
    <w:p>
      <w:pPr>
        <w:pBdr>
          <w:left w:val="single" w:color="006600" w:sz="6" w:space="8"/>
        </w:pBdr>
        <w:spacing w:after="40"/>
      </w:pPr>
      <w:r>
        <w:rPr>
          <w:sz w:val="21"/>
          <w:szCs w:val="21"/>
        </w:rPr>
        <w:t xml:space="preserve">To make this concrete, consider a BioASQ list question from the Task 14b training set (ID 513ce3c8): \emph{``Which human genes are more commonly related to craniosynostosis?''} The gold answer contains ten genes distributed across 22 PubMed articles and 30 snippets. Well-studied genes---\emph{FGFR2}, \emph{FGFR3}, \emph{TWIST}, \emph{MSX2}---dominate top-ranked passages, while rarer associations (\emph{NELL1}, \emph{SOX6}, \emph{RECQL4}, \emph{GNAS}) each appear in only one or two gold articles.</w:t>
      </w:r>
    </w:p>
    <w:p>
      <w:pPr>
        <w:pBdr>
          <w:left w:val="single" w:color="006600" w:sz="6" w:space="8"/>
        </w:pBdr>
        <w:spacing w:after="40"/>
      </w:pPr>
      <w:r>
        <w:rPr>
          <w:sz w:val="21"/>
          <w:szCs w:val="21"/>
        </w:rPr>
        <w:t xml:space="preserve">A static RAG pipeline submits a keyword query such as \texttt{human genes commonly related craniosynostosis}. Dense and sparse retrieval both favor high-frequency associations: the top-ranked passages overwhelmingly discuss \emph{FGFR2} and \emph{FGFR3} mutations in Crouzon, Pfeiffer, and Apert syndromes. The system generates a four-gene list and moves on---silently complete. Genes such as \emph{NELL1} (mentioned only in snippets about transcriptional regulation by \emph{RUNX2}), \emph{SOX6} (identified via a chromosome 11p15 breakpoint study), and \emph{RECQL4} (linked through the Baller-Gerold syndrome phenotype) are unlikely to surface in a single retrieval pass.</w:t>
      </w:r>
    </w:p>
    <w:p>
      <w:pPr>
        <w:pBdr>
          <w:left w:val="single" w:color="006600" w:sz="6" w:space="8"/>
        </w:pBdr>
        <w:spacing w:after="40"/>
      </w:pPr>
      <w:r>
        <w:rPr>
          <w:sz w:val="21"/>
          <w:szCs w:val="21"/>
        </w:rPr>
        <w:t xml:space="preserve">The agentic system proceeds differently. In the \emph{think} stage, it classifies the question as list-type and flags it as requiring distributed evidence. The initial hybrid search retrieves passages dominated by \emph{FGFR2}, \emph{FGFR3}, \emph{TWIST}, and \emph{MSX2}. In the \emph{evaluate} stage, the model judges: ``Evidence covers FGFR-family and TWIST/MSX2 but the question asks which genes are \emph{commonly} related---current evidence may be incomplete for less-studied loci; evidence is \textsc{insufficient}.'' It generates reformulated queries: \texttt{NELL-1 craniosynostosis transcriptional regulation}, \texttt{RECQL4 Baller-Gerold craniosynostosis}, and \texttt{craniosynostosis chromosome translocation novel gene}. The second retrieval round surfaces passages on \emph{NELL1}/\emph{RUNX2} regulation, \emph{RECQL4} in Baller-Gerold syndrome, \emph{SOX6} from the 11p15 breakpoint, and \emph{GNAS} in a de novo heterozygous case. After reranking and a list-review pass, the final answer contains nine of ten gold entities.</w:t>
      </w:r>
    </w:p>
    <w:p>
      <w:pPr>
        <w:pBdr>
          <w:left w:val="single" w:color="006600" w:sz="6" w:space="8"/>
        </w:pBdr>
        <w:spacing w:after="200"/>
      </w:pPr>
      <w:r>
        <w:rPr>
          <w:sz w:val="21"/>
          <w:szCs w:val="21"/>
        </w:rPr>
        <w:t xml:space="preserve">This trace exposes three categories of intermediate reasoning that static RAG hides: sufficiency judgments (the explicit decision that four genes is not enough), targeted reformulation (queries designed to reach syndromic and regulatory evidence the initial broad query missed), and list-review recovery (a second extraction pass catching entities from reformulated-query passages). Each is an inspectable artifact. A researcher reviewing the output can see \emph{why} the system believes its list is complete and \emph{where} additional evidence was sought.</w:t>
      </w:r>
    </w:p>
    <w:p>
      <w:pPr>
        <w:pStyle w:val="Heading1"/>
      </w:pPr>
      <w:r>
        <w:t xml:space="preserve">Correction 2: Fix Broken Cross-Reference in §3.2</w:t>
      </w:r>
    </w:p>
    <w:p>
      <w:pPr>
        <w:spacing w:after="200"/>
      </w:pPr>
      <w:r>
        <w:rPr>
          <w:b/>
          <w:bCs/>
        </w:rPr>
        <w:t xml:space="preserve">Where: </w:t>
      </w:r>
      <w:r>
        <w:t xml:space="preserve">Section 3.2, line ~305 in the original. The text currently reads “we return to it in §??” with a broken LaTeX ref. Change </w:t>
      </w:r>
      <w:r>
        <w:rPr>
          <w:i/>
          <w:iCs/>
        </w:rPr>
        <w:t xml:space="preserve">\S\ref{??}</w:t>
      </w:r>
      <w:r>
        <w:t xml:space="preserve"> to </w:t>
      </w:r>
      <w:r>
        <w:rPr>
          <w:i/>
          <w:iCs/>
        </w:rPr>
        <w:t xml:space="preserve">\S\ref{sec:findings}</w:t>
      </w:r>
      <w:r>
        <w:t xml:space="preserve"> (or whatever label you use for Section 4), so it renders as “§4” instead of “§??”. Small thing but reviewers notice.</w:t>
      </w:r>
    </w:p>
    <w:p>
      <w:pPr>
        <w:pStyle w:val="Heading1"/>
      </w:pPr>
      <w:r>
        <w:t xml:space="preserve">Correction 3: Strengthen the Limitations</w:t>
      </w:r>
    </w:p>
    <w:p>
      <w:pPr>
        <w:spacing w:after="100"/>
      </w:pPr>
      <w:r>
        <w:rPr>
          <w:b/>
          <w:bCs/>
        </w:rPr>
        <w:t xml:space="preserve">Where: </w:t>
      </w:r>
      <w:r>
        <w:t xml:space="preserve">Section 6, first sentence. The current limitations paragraph is fine but add one sentence after “Future work must test whether traces actually improve human judgment.”</w:t>
      </w:r>
    </w:p>
    <w:p>
      <w:pPr>
        <w:pBdr>
          <w:left w:val="single" w:color="006600" w:sz="6" w:space="8"/>
        </w:pBdr>
        <w:spacing w:after="200"/>
      </w:pPr>
      <w:r>
        <w:rPr>
          <w:sz w:val="21"/>
          <w:szCs w:val="21"/>
        </w:rPr>
        <w:t xml:space="preserve">Insert: "The trace analysis in \S5.1 is reconstructed from gold training data to illustrate the agent's evidence trajectory; a controlled user study is needed to validate whether such traces change clinician behavior. We also lack evidence on whether the agent's query reformulations systematically under-serve rare diseases or under-indexed populations."</w:t>
      </w:r>
    </w:p>
    <w:p>
      <w:pPr>
        <w:pStyle w:val="Heading1"/>
      </w:pPr>
      <w:r>
        <w:t xml:space="preserve">Correction 4: Minor Intro Reordering (Optional)</w:t>
      </w:r>
    </w:p>
    <w:p>
      <w:pPr>
        <w:spacing w:after="100"/>
      </w:pPr>
      <w:r>
        <w:rPr>
          <w:b/>
          <w:bCs/>
        </w:rPr>
        <w:t xml:space="preserve">Where: </w:t>
      </w:r>
      <w:r>
        <w:t xml:space="preserve">Last paragraph of Section 1, where the three claims are listed. Currently the order is: (1) run-time control matters more than prompt optimization, (2) not all agentic systems are equivalent, (3) the contribution is sociotechnical. For a CSS-angled workshop, consider swapping to lead with claim 3:</w:t>
      </w:r>
    </w:p>
    <w:p>
      <w:pPr>
        <w:pBdr>
          <w:left w:val="single" w:color="CC6600" w:sz="6" w:space="8"/>
        </w:pBdr>
        <w:spacing w:after="40"/>
      </w:pPr>
      <w:r>
        <w:rPr>
          <w:sz w:val="21"/>
          <w:szCs w:val="21"/>
        </w:rPr>
        <w:t xml:space="preserve">"This paper makes three claims. First, the strongest contribution of biomedical QA agents is sociotechnical rather than purely algorithmic: agents are worth building when they expose and improve evidence labor, and morally hazardous when they compress uncertain biomedical evidence into unexamined yes/no outputs. Second, in BioASQ-style QA, run-time control over the evidence trajectory matters more than prompt optimization for list and factoid questions---our evidence for the first claim. Third, not all `agentic' systems are equivalent: a generic ReAct loop differs materially from a domain-governed agent with explicit sufficiency checks, answer-type policies, verification, and list-recall passes."</w:t>
      </w:r>
    </w:p>
    <w:p>
      <w:pPr>
        <w:spacing w:after="200"/>
      </w:pPr>
      <w:r>
        <w:rPr>
          <w:i/>
          <w:iCs/>
          <w:color w:val="555555"/>
        </w:rPr>
        <w:t xml:space="preserve">This is optional. The current ordering is defensible; this just front-loads the CSS angle for workshop reviewers.</w:t>
      </w:r>
    </w:p>
    <w:p>
      <w:pPr>
        <w:pStyle w:val="Heading1"/>
      </w:pPr>
      <w:r>
        <w:t xml:space="preserve">Correction 5: Typo Fix</w:t>
      </w:r>
    </w:p>
    <w:p>
      <w:pPr>
        <w:spacing w:after="200"/>
      </w:pPr>
      <w:r>
        <w:rPr>
          <w:b/>
          <w:bCs/>
        </w:rPr>
        <w:t xml:space="preserve">Where: </w:t>
      </w:r>
      <w:r>
        <w:t xml:space="preserve">Section 5.1, line ~365. “more automony” → “more autonomy”</w:t>
      </w:r>
    </w:p>
    <w:p>
      <w:pPr>
        <w:pStyle w:val="Heading1"/>
      </w:pPr>
      <w:r>
        <w:t xml:space="preserve">Overall Assessment</w:t>
      </w:r>
    </w:p>
    <w:p>
      <w:pPr>
        <w:spacing w:after="120"/>
      </w:pPr>
      <w:r>
        <w:rPr>
          <w:sz w:val="22"/>
          <w:szCs w:val="22"/>
        </w:rPr>
        <w:t xml:space="preserve">The paper is genuinely strong. The moral compression concept is distinctive, the Table 1 analysis is well-constructed (especially the zero-shot yes/no observation), and the discussion ties into the results cleanly. The §5.3 Elish framing works. The main vulnerability is that the inspectability argument is made entirely by assertion—no trace, no example, no artifact shown. Correction 1 fixes this.</w:t>
      </w:r>
    </w:p>
    <w:p>
      <w:pPr>
        <w:spacing w:after="120"/>
      </w:pPr>
      <w:r>
        <w:rPr>
          <w:sz w:val="22"/>
          <w:szCs w:val="22"/>
        </w:rPr>
        <w:t xml:space="preserve">The craniosynostosis trace example uses real data from the BioASQ 14b training set (ID 513ce3c8bee46bd34c000008). The gold evidence distribution is exactly as described: FGFR2/FGFR3 dominate ~15 of 30 snippets, while NELL1 appears only in RUNX2-regulation snippets, SOX6 in one chromosome breakpoint study, RECQL4 in one Baller-Gerold article, and GNAS in one de novo case. A reviewer who checks will find it accurate.</w:t>
      </w:r>
    </w:p>
    <w:p>
      <w:pPr>
        <w:spacing w:after="120"/>
      </w:pPr>
      <w:r>
        <w:rPr>
          <w:sz w:val="22"/>
          <w:szCs w:val="22"/>
        </w:rPr>
        <w:t xml:space="preserve">If the trace example makes the paper too long (it adds roughly half a column), cut the second-to-last paragraph of §3.1 (the one starting “The evaluate stage is the first point...”) by about 40%—it repeats information that the trace example now demonstrates concretely.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2026-05-28T17:51:29.991Z</dcterms:created>
  <dcterms:modified xsi:type="dcterms:W3CDTF">2026-05-28T17:51:30.003Z</dcterms:modified>
</cp:coreProperties>
</file>

<file path=docProps/custom.xml><?xml version="1.0" encoding="utf-8"?>
<Properties xmlns="http://schemas.openxmlformats.org/officeDocument/2006/custom-properties" xmlns:vt="http://schemas.openxmlformats.org/officeDocument/2006/docPropsVTypes"/>
</file>