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BioASQ Task 14b — LaTeX Revision Checklist</w:t>
      </w:r>
    </w:p>
    <w:p>
      <w:pPr>
        <w:spacing w:after="240"/>
      </w:pPr>
      <w:r>
        <w:rPr>
          <w:i/>
          <w:iCs/>
        </w:rPr>
        <w:t xml:space="preserve">Apply in order. Items 1–5 are corrections; 6–9 are clarity and typos; 10 is an optional strengthening edit.</w:t>
      </w:r>
    </w:p>
    <w:p>
      <w:pPr>
        <w:pStyle w:val="Heading1"/>
      </w:pPr>
      <w:r>
        <w:t xml:space="preserve">1. CRITICAL — Finalcorrected few-shot status is wrong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Your submission data says Finalcorrected used NO few-shot. Only ossllm (Gemma 3) used the three exemplars. The paper currently claims few-shot is a shared component and that Finalcorrected uses 3-shot. Fix in four places.</w:t>
      </w:r>
    </w:p>
    <w:p>
      <w:pPr>
        <w:pStyle w:val="Heading2"/>
      </w:pPr>
      <w:r>
        <w:t xml:space="preserve">1a. Table 1 — Finalcorrected few-shot cell</w:t>
      </w:r>
    </w:p>
    <w:p>
      <w:pPr>
        <w:spacing w:after="120"/>
      </w:pPr>
      <w:r>
        <w:t xml:space="preserve">Change the Few-shot row so Finalcorrected reads "no":</w:t>
      </w:r>
    </w:p>
    <w:p>
      <w:pPr>
        <w:pBdr>
          <w:left w:val="single" w:color="BBBBBB" w:sz="18" w:space="6"/>
        </w:pBdr>
        <w:shd w:fill="F2F2F2" w:val="clear"/>
        <w:spacing w:after="16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Few-shot            &amp; yes (3-shot)       &amp; no \\</w:t>
      </w:r>
    </w:p>
    <w:p>
      <w:pPr>
        <w:pStyle w:val="Heading2"/>
      </w:pPr>
      <w:r>
        <w:t xml:space="preserve">1b. Abstract — remove few-shot from the shared-architecture list</w:t>
      </w:r>
    </w:p>
    <w:p>
      <w:pPr>
        <w:spacing w:after="120"/>
      </w:pPr>
      <w:r>
        <w:t xml:space="preserve">Replace the "Both share a common architecture..." sentence and the "vary" sentence with: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Both share a common architecture: an LLM-controlled retrieval loop over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PubMed, hybrid PubMedBERT and BM25 reranking fused via Reciprocal Rank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Fusion (RRF), and a deterministic JSON format-hygiene filter on the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model's output. The configurations vary the LLM backbone (Gemma 3 27B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vs.\ Gemma 4 31B Dense), the PubMed access substrate (live NCBI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E-utilities vs.\ a local SQLite FTS5 mirror of the Annual Baseline), and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whether the answer-generation prompt is conditioned on training-set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exemplars (the Gemma 3 system uses three; the Gemma 4 system uses none).</w:t>
      </w:r>
    </w:p>
    <w:p>
      <w:pPr>
        <w:pStyle w:val="Heading2"/>
      </w:pPr>
      <w:r>
        <w:t xml:space="preserve">1c. §3.2 — fix the shared-few-shot claim</w:t>
      </w:r>
    </w:p>
    <w:p>
      <w:pPr>
        <w:spacing w:after="120"/>
      </w:pPr>
      <w:r>
        <w:t xml:space="preserve">Replace the sentence that begins "Both systems condition the answer-generation prompt..." with: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The ossllm system additionally conditions its answer-generation prompt on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three training-set exemplars selected by question-embedding cosine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similarity; the Finalcorrected system uses none.</w:t>
      </w:r>
    </w:p>
    <w:p>
      <w:pPr>
        <w:pStyle w:val="Heading2"/>
      </w:pPr>
      <w:r>
        <w:t xml:space="preserve">1d. §3.7 — three axes, not two</w:t>
      </w:r>
    </w:p>
    <w:p>
      <w:pPr>
        <w:spacing w:after="120"/>
      </w:pPr>
      <w:r>
        <w:t xml:space="preserve">In the variants paragraph, change the closing sentence: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The submissions vary along three axes: generator scale,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retrieval-substrate locality, and few-shot conditioning.</w:t>
      </w:r>
    </w:p>
    <w:p>
      <w:pPr>
        <w:pStyle w:val="Heading1"/>
      </w:pPr>
      <w:r>
        <w:t xml:space="preserve">2. Conclusion contradicts the paper (§6)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conclusion says "three open-weights agentic RAG systems" and "varying ... the answer-generation prompt," which conflicts with the two-configuration framing and the corrected few-shot status.</w:t>
      </w:r>
    </w:p>
    <w:p>
      <w:pPr>
        <w:spacing w:after="120"/>
      </w:pPr>
      <w:r>
        <w:t xml:space="preserve">Replace the first sentence of §6 with: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We submitted two configurations to BioASQ Task 14b under three submission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names, sharing an agentic retrieval loop, a hybrid PubMedBERT + BM25 + RRF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reranker, and a format-hygiene filter, and varying the LLM backbone, the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PubMed access substrate, and few-shot conditioning.</w:t>
      </w:r>
    </w:p>
    <w:p>
      <w:pPr>
        <w:pStyle w:val="Heading1"/>
      </w:pPr>
      <w:r>
        <w:t xml:space="preserve">3. Figure 3 legend still says asmalltrialsystem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§5.2 prose says ossllm, but the Figure 3 legend and caption still read "asmalltrialsystem b2" and "asmalltrialsystem b1."</w:t>
      </w:r>
    </w:p>
    <w:p>
      <w:pPr>
        <w:spacing w:after="120"/>
      </w:pPr>
      <w:r>
        <w:t xml:space="preserve">In the Figure 3 code, change both legend entries and any caption mention: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Phase A$^+$ (ossllm b2)        % was: asmalltrialsystem b2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Phase B (ossllm b1)            % was: asmalltrialsystem b1</w:t>
      </w:r>
    </w:p>
    <w:p>
      <w:pPr>
        <w:pStyle w:val="Heading1"/>
      </w:pPr>
      <w:r>
        <w:t xml:space="preserve">4. Standardize model name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§3.2 says "Gemma 4 31B"; the abstract and Table 1 say "Gemma 4 31B Dense."</w:t>
      </w:r>
    </w:p>
    <w:p>
      <w:pPr>
        <w:spacing w:after="120"/>
      </w:pPr>
      <w:r>
        <w:t xml:space="preserve">Use "Gemma 4 31B Dense" everywhere. In §3.2:</w:t>
      </w:r>
    </w:p>
    <w:p>
      <w:pPr>
        <w:pBdr>
          <w:left w:val="single" w:color="BBBBBB" w:sz="18" w:space="6"/>
        </w:pBdr>
        <w:shd w:fill="F2F2F2" w:val="clear"/>
        <w:spacing w:after="16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the Finalcorrected system runs Gemma 4 31B Dense~\cite{gemma4...},</w:t>
      </w:r>
    </w:p>
    <w:p>
      <w:pPr>
        <w:pStyle w:val="Heading1"/>
      </w:pPr>
      <w:r>
        <w:t xml:space="preserve">5. Reference [1] is the wrong BioASQ edition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Reference [1] is the 2025 / Task 13b overview, but §1 cites it for "BioASQ Task 14b." A BioASQ organizer reviewing will notice.</w:t>
      </w:r>
    </w:p>
    <w:p>
      <w:pPr>
        <w:spacing w:after="120"/>
      </w:pPr>
      <w:r>
        <w:t xml:space="preserve">Either cite the actual 14b/2026 overview if it now exists, or annotate the bib entry note field so it is clearly the most recent prior overview used as a placeholder. Minimal in-text fix in §1: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BioASQ Task 14b~\cite{nentidis2026bioasq} is the biomedical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question-answering shared task of the CLEF lab series.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% ensure this key points to the 14b overview, not the 13b one</w:t>
      </w:r>
    </w:p>
    <w:p>
      <w:pPr>
        <w:pStyle w:val="Heading1"/>
      </w:pPr>
      <w:r>
        <w:t xml:space="preserve">6. Clarify "two systems" vs "three names" vs "four submissions"</w:t>
      </w:r>
    </w:p>
    <w:p>
      <w:pPr>
        <w:spacing w:after="80"/>
      </w:pPr>
      <w:r>
        <w:rPr>
          <w:b/>
          <w:bCs/>
        </w:rPr>
        <w:t xml:space="preserve">Suggestion: </w:t>
      </w:r>
      <w:r>
        <w:t xml:space="preserve">Add one clarifying sentence to §3.7 so the three different counts reconcile cleanly: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We use "submission" to mean a per-batch system run; the four batch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submissions came from two distinct configurations registered under three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system names.</w:t>
      </w:r>
    </w:p>
    <w:p>
      <w:pPr>
        <w:pStyle w:val="Heading1"/>
      </w:pPr>
      <w:r>
        <w:t xml:space="preserve">7. §3.4 — "two step process" is inaccurate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Withholding the query history and the sufficiency checklist are two independent design choices, not sequential steps.</w:t>
      </w:r>
    </w:p>
    <w:p>
      <w:pPr>
        <w:spacing w:after="120"/>
      </w:pPr>
      <w:r>
        <w:t xml:space="preserve">Change the opening sentence of that paragraph back to: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Two choices in the loop do most of the work, and both are about restraint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rather than machinery.</w:t>
      </w:r>
    </w:p>
    <w:p>
      <w:pPr>
        <w:pStyle w:val="Heading1"/>
      </w:pPr>
      <w:r>
        <w:t xml:space="preserve">8. Quote / apostrophe rendering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Several places use straight quotes or lose quotes entirely (e.g. the NF1 example has a stray closing quote; "have I done enough?" renders without quotes).</w:t>
      </w:r>
    </w:p>
    <w:p>
      <w:pPr>
        <w:spacing w:after="120"/>
      </w:pPr>
      <w:r>
        <w:t xml:space="preserve">Use LaTeX quote conventions throughout: opening `` and closing '' for double quotes, ` and ' for single. Example: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Consider ``In GBM, which cell state is associated with loss of NF1?''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% not: "In GBM, ..."  and not a stray trailing "</w:t>
      </w:r>
    </w:p>
    <w:p>
      <w:pPr>
        <w:pStyle w:val="Heading1"/>
      </w:pPr>
      <w:r>
        <w:t xml:space="preserve">9. Typos and table rendering</w:t>
      </w:r>
    </w:p>
    <w:p>
      <w:pPr>
        <w:spacing w:after="80"/>
      </w:pPr>
      <w:r>
        <w:rPr>
          <w:b/>
          <w:bCs/>
        </w:rPr>
        <w:t xml:space="preserve">9a. </w:t>
      </w:r>
      <w:r>
        <w:t xml:space="preserve">§5.1 has a double period: "...during development.." — remove one.</w:t>
      </w:r>
    </w:p>
    <w:p>
      <w:pPr>
        <w:spacing w:after="80"/>
      </w:pPr>
      <w:r>
        <w:rPr>
          <w:b/>
          <w:bCs/>
        </w:rPr>
        <w:t xml:space="preserve">9b. </w:t>
      </w:r>
      <w:r>
        <w:t xml:space="preserve">Table 3 (Phase A+) batch 3 row: the factoid strict and MRR cells are blank instead of showing a dash. Put an explicit em-dash in each:</w:t>
      </w:r>
    </w:p>
    <w:p>
      <w:pPr>
        <w:pBdr>
          <w:left w:val="single" w:color="BBBBBB" w:sz="18" w:space="6"/>
        </w:pBdr>
        <w:shd w:fill="F2F2F2" w:val="clear"/>
        <w:spacing w:after="16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3 &amp; \texttt{ossllm} &amp; 0.455 &amp; 0.450 &amp; --- &amp; --- &amp; 0.201 \\</w:t>
      </w:r>
    </w:p>
    <w:p>
      <w:pPr>
        <w:spacing w:after="80"/>
      </w:pPr>
      <w:r>
        <w:rPr>
          <w:b/>
          <w:bCs/>
        </w:rPr>
        <w:t xml:space="preserve">9c. </w:t>
      </w:r>
      <w:r>
        <w:t xml:space="preserve">Table 3 caption: the "not scored" dash is garbled — write it as: ``---'' = not scored.</w:t>
      </w:r>
    </w:p>
    <w:p>
      <w:pPr>
        <w:pStyle w:val="Heading1"/>
      </w:pPr>
      <w:r>
        <w:t xml:space="preserve">10. OPTIONAL — state the contribution in one sentence (§1)</w:t>
      </w:r>
    </w:p>
    <w:p>
      <w:pPr>
        <w:spacing w:after="80"/>
      </w:pPr>
      <w:r>
        <w:rPr>
          <w:b/>
          <w:bCs/>
        </w:rPr>
        <w:t xml:space="preserve">Why: </w:t>
      </w:r>
      <w:r>
        <w:t xml:space="preserve">The intro lists numbers but never crisply states the takeaway. Adding this makes the paper read as a contribution, not just a report. Insert after the headline-numbers paragraph:</w:t>
      </w:r>
    </w:p>
    <w:p>
      <w:pPr>
        <w:pBdr>
          <w:left w:val="single" w:color="BBBBBB" w:sz="18" w:space="6"/>
        </w:pBdr>
        <w:shd w:fill="F2F2F2" w:val="clear"/>
        <w:spacing w:after="0" w:before="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Our contribution is a demonstration that placing the LLM as a retrieval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controller---deciding what to query and when to stop---rather than only as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 post-retrieval generator, reaches competitive Phase B performance with no</w:t>
      </w:r>
    </w:p>
    <w:p>
      <w:pPr>
        <w:pBdr>
          <w:left w:val="single" w:color="BBBBBB" w:sz="18" w:space="6"/>
        </w:pBdr>
        <w:shd w:fill="F2F2F2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fine-tuning, and that the residual gap to the field is a retrieval-recall</w:t>
      </w:r>
    </w:p>
    <w:p>
      <w:pPr>
        <w:pBdr>
          <w:left w:val="single" w:color="BBBBBB" w:sz="18" w:space="6"/>
        </w:pBdr>
        <w:shd w:fill="F2F2F2" w:val="clear"/>
        <w:spacing w:after="16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gap rather than a generation gap.</w:t>
      </w:r>
    </w:p>
    <w:p>
      <w:pPr>
        <w:spacing w:before="240"/>
      </w:pPr>
      <w:r>
        <w:rPr>
          <w:i/>
          <w:iCs/>
        </w:rPr>
        <w:t xml:space="preserve">Priority: items 1–5 are accuracy/consistency and should be done before camera-ready. Items 6–9 are quick polish. Item 10 is the single highest-value addition if you want the paper to read as stronger. Total time: roughly 25–30 minutes.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2026-05-28T21:12:24.034Z</dcterms:created>
  <dcterms:modified xsi:type="dcterms:W3CDTF">2026-05-28T21:12:24.035Z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