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700"/>
      </w:pPr>
      <w:r>
        <w:rPr>
          <w:rFonts w:ascii="Calibri" w:cs="Calibri" w:eastAsia="Calibri" w:hAnsi="Calibri"/>
          <w:b/>
          <w:bCs/>
          <w:color w:val="065A82"/>
          <w:spacing w:val="40"/>
          <w:sz w:val="19"/>
          <w:szCs w:val="19"/>
        </w:rPr>
        <w:t xml:space="preserve">ACCENTURE BATCH 1 · AGENTIC AI FOUNDATION</w:t>
      </w:r>
    </w:p>
    <w:p>
      <w:pPr>
        <w:spacing w:after="200"/>
      </w:pPr>
      <w:r>
        <w:rPr>
          <w:rFonts w:ascii="Cambria" w:cs="Cambria" w:eastAsia="Cambria" w:hAnsi="Cambria"/>
          <w:b/>
          <w:bCs/>
          <w:color w:val="21295C"/>
          <w:sz w:val="50"/>
          <w:szCs w:val="50"/>
        </w:rPr>
        <w:t xml:space="preserve">Curriculum &amp; Specification Gap Analysis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Derived from CURRICULUM_GAP_ANALYSIS.md — that file is the source of truth.</w:t>
      </w:r>
    </w:p>
    <w:p>
      <w:pPr>
        <w:pageBreakBefore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40"/>
      </w:pPr>
      <w:r>
        <w:rPr>
          <w:rFonts w:ascii="Cambria" w:cs="Cambria" w:eastAsia="Cambria" w:hAnsi="Cambria"/>
          <w:b/>
          <w:bCs/>
          <w:color w:val="21295C"/>
          <w:sz w:val="32"/>
          <w:szCs w:val="32"/>
        </w:rPr>
        <w:t xml:space="preserve">Curriculum &amp; Specification Gap Analysis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Source reviewed: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Accenture_Batch_1_Detailed.pdf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(Days 1–3 + unified Capstone 01/02)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Reviewed against: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what the Capstone actually requires to be buildable.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Two categories.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S-gaps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are ambiguities or omissions in the client's business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specification — the client decides, we do not invent.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G-gaps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are things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Capstone needs that no Day 1–3 lab teaches — ours to fix.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S-gaps — business specification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S1 · No end state for an overpayment · SEVERITY: HIGH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six end states cover exact match, variance, unapplied and unidentified cash.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None describes a payment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exceeding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the invoice value.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Not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PARTIAL_MATCH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that describes a shortfall.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Not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CLOSED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the excess is unapplied.</w:t>
      </w:r>
    </w:p>
    <w:p>
      <w:pPr>
        <w:pStyle w:val="ListParagraph"/>
        <w:numPr>
          <w:ilvl w:val="0"/>
          <w:numId w:val="1"/>
        </w:numPr>
        <w:spacing w:after="7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Not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UAC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— the payer and the invoice are both known.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In the build: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seed transaction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BNK-1010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pays \$12,000 against an \$11,000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invoice, deliberately, to surface this. It is routed to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QUERY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and the trace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says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SPECIFICATION GAP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in plain text.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Recommendation: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ask the client whether they want a seventh state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(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OVERPAYMENT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UNAPPLIED_CREDIT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) or a documented rule folding it into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UAC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Either is defensible. Silently choosing one is not.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S2 · UAC is defined two different ways in the same document · SEVERITY: MEDIUM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468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implied</w:t>
            </w:r>
          </w:p>
        </w:tc>
      </w:tr>
      <w:t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End-state table, row 4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"No invoice details in Bank Statement </w:t>
            </w: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and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No Remittance Advice"</w:t>
            </w:r>
          </w:p>
        </w:tc>
      </w:tr>
      <w:tr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Example D, Case 1</w:t>
            </w:r>
          </w:p>
        </w:tc>
        <w:tc>
          <w:tcPr>
            <w:tcW w:type="dxa" w:w="468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"Customer identified, invoice unknown"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These are different tests. A payment from a known customer *with* a remittance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that lacks invoice detail satisfies the second and fails the first.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In the build: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we implement the </w:t>
      </w: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Example D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reading — payer-identifiability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is the operationally useful test, because it decides whether Cash Application or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Treasury owns the item. Documented in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route_exception_type()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and flagged on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Day 1 slide 6.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S3 · One-to-many cash application is undefined · SEVERITY: HIGH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six priority rules are written as one-payment-to-one-invoice. Real remittances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frequently settle several invoices with one transfer.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In the build: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BNK-1008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remits \$15,000 covering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INV-1102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(\$9,000) and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INV-1103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(\$6,000). The 3-way rule fires correctly at priority 5, matches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first invoice, and then computes a \$6,000 "overpayment" — because the rule has no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concept of split application. Surfaced explicitly in Day 2 Lab 5, Step 7.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Recommendation: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split application needs its own state fields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(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applications: list[{invoice_no, applied_usd}]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) and its own end state, or an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explicit client decision to exclude it from scope. This was found in week one at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zero cost; found in UAT it is a re-architecture.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S4 · No currency or FX handling · SEVERITY: MEDIUM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Every amount in the specification is USD. Multi-currency AR needs a rate source,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 rate date convention, and an FX-variance treatment distinct from a deduction.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In the build: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not implemented. Raised as a Day 1 Lab 5 stretch goal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(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node_currency_check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) so learners see where it would attach.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S5 · No idempotency or replay position · SEVERITY: HIGH (operational)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Nothing in the specification says what happens when a nightly batch is re-run, or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when a process dies after posting to the ERP but before the state is recorded.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In the build: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create_dispute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carries a content-derived idempotency key and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Day 2 Lab 2 proves that two identical authorised writes produce one dispute.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Day 2 Lab 1 proves ingestion is idempotent for the same reason.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G-gaps — curriculum</w:t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G1 · Structured-output validation is never taught · SEVERITY: HIGH · CLOSED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Days 1–3 as scoped parse model JSON defensively. Parsing is not validating: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json.loads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accepts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{"reason_code": "D99", "confidence": "very high"}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Remediation shipped: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Day 2 Lab 4 replaces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complete_json()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with a Pydantic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DeductionFinding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contract plus a verbatim-substring grounding check. Five real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failure payloads are rejected in front of the class before the model is trusted.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G2 · MCP tools are in the architecture but in no lab · SEVERITY: MEDIUM · PARTIALLY CLOSED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Capstone stack names Model Context Protocol tools for ERP and ledger access.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No Day 1–3 lab teaches them.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Remediation shipped: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Day 2 Lab 2 builds the *concept* end to end — a tool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registry with typed schemas, a read/write permission model, refusal of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unauthorised writes, refusal of hallucinated tool names, and a per-invocation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audit ledger.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registry.catalogue()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emits the exact schema shape a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function-calling API expects.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Still open: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an actual MCP server/client transport lab. Recommend a 45-minute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addition to Day 3, or an explicit statement to the client that MCP is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architectural context rather than a hands-on outcome.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G3 · Human-in-the-loop is required by the Capstone and taught nowhere · SEVERITY: HIGH · OPEN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The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QUERY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end state is defined as "user queried for more information". Making a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graph *actually* suspend, persist, and resume on human input requires LangGraph's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interrupt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plus a checkpointer. Neither appears in any Day 1–3 lab as scoped.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Partially mitigated: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Day 1 Lab 5 includes a checkpointer stretch goal, and</w:t>
      </w:r>
    </w:p>
    <w:p>
      <w:pPr>
        <w:spacing w:after="130" w:line="278"/>
      </w:pPr>
      <w:r>
        <w:rPr>
          <w:rFonts w:ascii="Consolas" w:cs="Consolas" w:eastAsia="Consolas" w:hAnsi="Consolas"/>
          <w:color w:val="065A82"/>
          <w:sz w:val="19"/>
          <w:szCs w:val="19"/>
        </w:rPr>
        <w:t xml:space="preserve">verify_environment.py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checks that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langgraph.types.interrupt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is importable and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warns if not.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langgraph-checkpoint-sqlite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is pinned in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requirements.txt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Recommendation: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 dedicated 50-minute lab. Without it, learners reach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Capstone able to *route* to </w:t>
      </w:r>
      <w:r>
        <w:rPr>
          <w:rFonts w:ascii="Consolas" w:cs="Consolas" w:eastAsia="Consolas" w:hAnsi="Consolas"/>
          <w:color w:val="065A82"/>
          <w:sz w:val="19"/>
          <w:szCs w:val="19"/>
        </w:rPr>
        <w:t xml:space="preserve">QUERY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but not to *resume* from it, which means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Capstone's own architecture diagram cannot be implemented as drawn. **This is the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highest-priority remaining gap.**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3"/>
        <w:spacing w:after="140" w:before="250"/>
      </w:pPr>
      <w:r>
        <w:rPr>
          <w:rFonts w:ascii="Cambria" w:cs="Cambria" w:eastAsia="Cambria" w:hAnsi="Cambria"/>
          <w:b/>
          <w:bCs/>
          <w:color w:val="065A82"/>
          <w:sz w:val="23"/>
          <w:szCs w:val="23"/>
        </w:rPr>
        <w:t xml:space="preserve">G4 · Scaffolding jump from Day 2 Lab 5 to the Capstone · SEVERITY: MEDIUM · OPEN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Day 2 Lab 5 ends with a 13-node graph over 10 transactions in memory. The Capstone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expects a deployable service with persistence, batch handling, and a review UI.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Partially mitigated: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the Streamlit consoles give learners a working UI pattern,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and the tool registry gives a persistence seam.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3C4257"/>
          <w:sz w:val="21"/>
          <w:szCs w:val="21"/>
        </w:rPr>
        <w:t xml:space="preserve">Recommendation:</w:t>
      </w:r>
      <w:r>
        <w:rPr>
          <w:rFonts w:ascii="Calibri" w:cs="Calibri" w:eastAsia="Calibri" w:hAnsi="Calibri"/>
          <w:color w:val="3C4257"/>
          <w:sz w:val="21"/>
          <w:szCs w:val="21"/>
        </w:rPr>
        <w:t xml:space="preserve"> a short bridging lab covering batch orchestration and durable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state, or an explicit scoping statement that the Capstone is delivered as a guided</w:t>
      </w:r>
    </w:p>
    <w:p>
      <w:pPr>
        <w:spacing w:after="130" w:line="278"/>
      </w:pPr>
      <w:r>
        <w:rPr>
          <w:rFonts w:ascii="Calibri" w:cs="Calibri" w:eastAsia="Calibri" w:hAnsi="Calibri"/>
          <w:color w:val="3C4257"/>
          <w:sz w:val="21"/>
          <w:szCs w:val="21"/>
        </w:rPr>
        <w:t xml:space="preserve">build rather than an independent one.</w:t>
      </w:r>
    </w:p>
    <w:p>
      <w:pPr>
        <w:pBdr>
          <w:bottom w:val="single" w:color="D7E1EA" w:sz="6"/>
        </w:pBdr>
        <w:spacing w:after="170" w:before="90"/>
      </w:pPr>
      <w:r>
        <w:rPr>
          <w:sz w:val="2"/>
          <w:szCs w:val="2"/>
        </w:rPr>
        <w:t xml:space="preserve"/>
      </w:r>
    </w:p>
    <w:p>
      <w:pPr>
        <w:pStyle w:val="Heading2"/>
        <w:spacing w:after="140" w:before="250"/>
      </w:pPr>
      <w:r>
        <w:rPr>
          <w:rFonts w:ascii="Cambria" w:cs="Cambria" w:eastAsia="Cambria" w:hAnsi="Cambria"/>
          <w:b/>
          <w:bCs/>
          <w:color w:val="21295C"/>
          <w:sz w:val="26"/>
          <w:szCs w:val="26"/>
        </w:rPr>
        <w:t xml:space="preserve">Priority order for remediation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234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234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2340"/>
            <w:shd w:fill="21295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Consequence if left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G3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human-in-the-loop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~50 min lab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Capstone architecture is not implementable as drawn</w:t>
            </w:r>
          </w:p>
        </w:tc>
      </w:tr>
      <w:tr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S3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one-to-many application</w:t>
            </w:r>
          </w:p>
        </w:tc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client decision + ~2h build</w:t>
            </w:r>
          </w:p>
        </w:tc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Silent mis-posting on real remittances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S1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overpayment end state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client decision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Undefined behaviour on a common real case</w:t>
            </w:r>
          </w:p>
        </w:tc>
      </w:tr>
      <w:tr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G4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capstone scaffolding</w:t>
            </w:r>
          </w:p>
        </w:tc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~40 min bridging lab</w:t>
            </w:r>
          </w:p>
        </w:tc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Capstone-day time overrun</w:t>
            </w:r>
          </w:p>
        </w:tc>
      </w:tr>
      <w:tr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G2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real MCP transport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~45 min lab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Architecture claim unsupported by hands-on work</w:t>
            </w:r>
          </w:p>
        </w:tc>
      </w:tr>
      <w:tr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3C4257"/>
                <w:sz w:val="19"/>
                <w:szCs w:val="19"/>
              </w:rPr>
              <w:t xml:space="preserve">S4</w:t>
            </w: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 currency / FX</w:t>
            </w:r>
          </w:p>
        </w:tc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scoping decision</w:t>
            </w:r>
          </w:p>
        </w:tc>
        <w:tc>
          <w:tcPr>
            <w:tcW w:type="dxa" w:w="2340"/>
            <w:shd w:fill="F2F6F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3C4257"/>
                <w:sz w:val="19"/>
                <w:szCs w:val="19"/>
              </w:rPr>
              <w:t xml:space="preserve">Blocks multi-region rollout only</w:t>
            </w:r>
          </w:p>
        </w:tc>
      </w:tr>
    </w:tbl>
    <w:p>
      <w:pPr>
        <w:spacing w:after="110" w:line="278"/>
      </w:pPr>
      <w:r>
        <w:rPr>
          <w:rFonts w:ascii="Calibri" w:cs="Calibri" w:eastAsia="Calibri" w:hAnsi="Calibri"/>
          <w:color w:val="3C4257"/>
          <w:sz w:val="2"/>
          <w:szCs w:val="2"/>
        </w:rPr>
        <w:t xml:space="preserve"/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9AA5B1"/>
        <w:sz w:val="17"/>
        <w:szCs w:val="17"/>
      </w:rPr>
      <w:t xml:space="preserve">Curriculum &amp; Specification Gap Analysis · page </w:t>
    </w:r>
    <w:r>
      <w:rPr>
        <w:rFonts w:ascii="Calibri" w:cs="Calibri" w:eastAsia="Calibri" w:hAnsi="Calibri"/>
        <w:color w:val="9AA5B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&amp; Specification Gap Analysis</dc:title>
  <dc:creator>Training Architecture</dc:creator>
  <cp:lastModifiedBy>Un-named</cp:lastModifiedBy>
  <cp:revision>1</cp:revision>
  <dcterms:created xsi:type="dcterms:W3CDTF">2026-08-05T17:49:44.232Z</dcterms:created>
  <dcterms:modified xsi:type="dcterms:W3CDTF">2026-08-05T17:49:44.232Z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