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</w:pPr>
      <w:r>
        <w:rPr>
          <w:rFonts w:ascii="Calibri" w:cs="Calibri" w:eastAsia="Calibri" w:hAnsi="Calibri"/>
          <w:b/>
          <w:bCs/>
          <w:color w:val="065A82"/>
          <w:spacing w:val="40"/>
          <w:sz w:val="19"/>
          <w:szCs w:val="19"/>
        </w:rPr>
        <w:t xml:space="preserve">ACCENTURE BATCH 1 · AGENTIC AI FOUNDATION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21295C"/>
          <w:sz w:val="50"/>
          <w:szCs w:val="50"/>
        </w:rPr>
        <w:t xml:space="preserve">Capstone Build Guide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Derived from BUILD_GUIDE.md — that file is the source of truth.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Capstone Build Guide — Automated Payment &amp; Reconciliation System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Duration: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one day (approximately 6 hours including review)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Prerequisites: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Days 1–3 complete, including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Day 3 Lab 6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(human-in-the-loop)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1. What you are building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One deployable workflow that unifies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Capstone 01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(configurable rule engine)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Capstone 02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(deduction identification and cash application).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Nothing here is new. You have written every component. The capstone is assembly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plus two additions that a demo does not need and a deployment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Addition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Unblocks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Survive process death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checkpointer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persists state after every node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criterion 5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Suspend for a human, then resume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interrupt()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Command(resume=…)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criterion 6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2. Package layout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Capstone/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├── src/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domain.py      end states, ledgers, priority rules 1–6, variance logic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security.py    input gate, output redaction, error envelopes, tool registry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pipeline.py    the 19-node graph, HITL interrupt, checkpointing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├── batch.py       batch orchestration, resume, export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└── cli.py         command-line entrypoint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├── tests/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└── test_acceptance.py   the seven criteria, executable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├── webapp/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│   └── app_analyst_console.py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└── docs/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└── BUILD_GUIDE.md  (this file)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Why src/ is a package and not an import of the lab files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labs are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teaching scripts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 they print, they assert, they narrate.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Importing one executes it. That is correct for a lab and wrong for a deployable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component.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So the Capstone re-expresses the same logic as an importable package. That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introduces a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drift risk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two copies of the priority rules — and we close it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only honest way available: **acceptance criterion 2 asserts that the package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reproduces the same ten end states the labs produce.** If the two ever diverge,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suite fails.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3. Run it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process the batch (QUERY suspends for a human)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run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terminate QUERY instead of suspending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run --no-hitl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resume a batch that died partway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run --resume-from BNK-1004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list suspended transactions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pending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resume one, with attribution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python3 -m Capstone.src.cli resume "&lt;thread_id&gt;"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--action assign_code --reason-code D01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--by "J. Okonkwo (Deductions)"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--rationale "Customer confirmed a contracted price variance by phone."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the seven acceptance criteria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python3 Capstone/tests/test_acceptance.py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the analyst console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Capstone/webapp/app_analyst_console.py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Prerequisite: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run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Day2_RAG/solutions/lab01_vector_ingestion.py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once. It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builds the remittance corpus the pipeline retrieves from. Without it,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BNK-1002 loses its reason code and BNK-1008 loses its 3-way match.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4. The seven acceptance criteria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Declared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build, on slide 5 of the Capstone deck. Declaring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expectation first is what separates a test from a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required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All six priority rules implemented and evaluated in order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unit tests per rule; matched priority recorded in state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Every transaction terminates in a declared end state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transaction finishes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; distribution reported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Deduction reasons grounded in verbatim evidence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citation check passes;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UNKNOWN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where no reason is stated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write executes without graph authorisation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audit ledger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shows refused writes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 run survives process death and resumes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kill mid-batch; resume; no duplicate ERP postings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QUERY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suspends and resumes on human input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analyst decision recorded; graph continues from the same state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Any single payment reconstructable from the log alone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run_id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trace: rule fired, evidence chunk, model output, outcome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Criterion 4 deserves a second read.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Its evidence is not "no unauthorised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write succeeded". It is "the audit ledger *shows* refused writes". Absence of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evidence is not evidence of control — if nothing was ever refused, you have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demonstrated that nobody tested it.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All seven pass in the packaged build.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5. Measured results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From a real run of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python3 -m Capstone.src.cli run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Straight-through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CLOSED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, no human)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4/10 = 40%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Requires a human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6/10 = 60%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Failed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0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End-state distribution: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CLOSED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4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PARTIAL_MATCH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2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 ·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UIC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 ·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AWAITING_HUMAN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1.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These reproduce the frozen Day 1–3 baseline exactly, which is what criterion 2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checks.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Figures were produced on the offline stub with a lexical embedder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re-measure on Path A and state the backend alongside any number you publish.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6. Architecture, layer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LangGraph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control flow, 2-way/3-way branching,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interrupt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QUERY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Document intelligence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Azure AI Foundry + Chroma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parse remittance prose, map to D01–D05 with verbatim grounding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tool registry (MCP-shaped)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typed, permissioned calls into ERP data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Control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guardrails + observability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block injection, redact output, log refusals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The architectural control, stated plainly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model cannot authorise a write.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ToolRegistry.invoke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refuses any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write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tool unless the caller passes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allow_write=True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and only the graph does that,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only from a state that justifies it.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successful prompt injection therefore corrupts a *recommendation*. It does not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move money, because the model was never holding that authority to give away.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This containment costs nothing at runtime — it was paid for at design time, 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1, by choosing a state machine over an agent that acts.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7. Open items carried into the capstone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These are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client decisions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not implementation defects. The system surfaces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each one rather than papering over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build handles it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end state for an overpayment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BNK-1010 (+$1,000) routes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QUERY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; the trace says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SPECIFICATION GAP S1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S3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One-to-many cash application undefined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BNK-1008 settles two invoices with one payment; priority 5 matches the first and reports a false overpayment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S2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UAC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defined two ways in the source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implements the Example D reading (payer identifiability); documented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classify_exception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S4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 currency or FX handling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not implemented; all amounts are USD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Full detail and remediation priority: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00_Program/CURRICULUM_GAP_ANALYSIS.md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8. Operational realities before you deploy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Latency budget.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Model calls dominate. Measure your endpoint (Day 2 Lab 2),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multiply by volume and calls-per-payment, and check it fits your batch window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*before* designing anything else. If it doesn't, the answer is fewer model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calls, not a faster model.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Partial failure.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batch that dies at transaction 4,000 must resume, not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restart — restarting risks re-posting to an ERP. Idempotency keys on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create_dispute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make a replay a no-op; criterion 5 proves it.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Queue capacity.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Every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AWAITING_HUMAN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lands in a human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queue. If the exception rate exceeds the team's capacity, automation has moved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bottleneck rather than removed it. **Model the exception queue before you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model the happy path** — this is what sinks programmes.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Checkpoint hygiene.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Every checkpoint persists the *whole* state. If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remittance_text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holds 40 KB of PDF, that is 40 KB per node per payment.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checkpoints contain customer data: they need a retention policy and something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that deletes them. A checkpoint store with no deletion story is a compliance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finding that looks like plumbing.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`thread_id` must be unique per payment.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shared one means resuming 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transaction resumes whichever ran last — silent, and very unpleasant.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Money is `float` here, `Decimal` in production.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to_decimal()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exists in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domain.py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so the posting layer converts at the boundary. This is a courseware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simplification, not a design position.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9. What to report to a steering committee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Three pairs of numbers. Reporting only the left column is how a business case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gets overstated.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Flattering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Honest partner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Match rate — a rule found an invoice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Straight-through — closed with no human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Straight-through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Coded &amp; routed — exceptions made actionable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Catch rate — attacks blocked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False positives — legitimate items wrongly blocked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Also report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what the system refused to do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 blocked writes, hallucinated tool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names, held transactions. It is the only direct evidence your controls are live,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it costs nothing extra — the records are already being written.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name the baseline. An automation target is a measurement problem before it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training outcome; you cannot improve a percentage against a baseline that does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exist.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AA5B1"/>
        <w:sz w:val="17"/>
        <w:szCs w:val="17"/>
      </w:rPr>
      <w:t xml:space="preserve">Capstone Build Guide · page </w:t>
    </w:r>
    <w:r>
      <w:rPr>
        <w:rFonts w:ascii="Calibri" w:cs="Calibri" w:eastAsia="Calibri" w:hAnsi="Calibri"/>
        <w:color w:val="9AA5B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Build Guide</dc:title>
  <dc:creator>Training Architecture</dc:creator>
  <cp:lastModifiedBy>Un-named</cp:lastModifiedBy>
  <cp:revision>1</cp:revision>
  <dcterms:created xsi:type="dcterms:W3CDTF">2026-08-05T17:49:44.514Z</dcterms:created>
  <dcterms:modified xsi:type="dcterms:W3CDTF">2026-08-05T17:49:44.515Z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