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</w:pPr>
      <w:r>
        <w:rPr>
          <w:rFonts w:ascii="Calibri" w:cs="Calibri" w:eastAsia="Calibri" w:hAnsi="Calibri"/>
          <w:b/>
          <w:bCs/>
          <w:color w:val="065A82"/>
          <w:spacing w:val="40"/>
          <w:sz w:val="19"/>
          <w:szCs w:val="19"/>
        </w:rPr>
        <w:t xml:space="preserve">ACCENTURE BATCH 1 · AGENTIC AI FOUNDATION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1295C"/>
          <w:sz w:val="50"/>
          <w:szCs w:val="50"/>
        </w:rPr>
        <w:t xml:space="preserve">Capstone Build Guide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Derived from BUILD_GUIDE.md — that file is the source of truth.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Capstone Build Guide — Automated Payment &amp; Reconciliation System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Duration: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one day (approximately 6 hours including review)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Prerequisites: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Days 1–3 complete, including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Day 3 Lab 6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(human-in-the-loop)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1. What you are building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One deployable workflow that unifies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Capstone 01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(configurable rule engine)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Capstone 02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(deduction identification and cash application).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Nothing here is new. You have written every component. The capstone is assembly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plus two additions that a demo does not need and a deployment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Addition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Unblocks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Survive process death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checkpointer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persists state after every node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criterion 5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Suspend for a human, then resume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interrupt()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Command(resume=…)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criterion 6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2. Package layout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Capstone/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├── src/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domain.py      end states, ledgers, priority rules 1–6, variance logic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security.py    input gate, output redaction, error envelopes, tool registry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pipeline.py    the 19-node graph, HITL interrupt, checkpointing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batch.py       batch orchestration, resume, export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└── cli.py         command-line entrypoint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├── tests/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└── test_acceptance.py   the seven criteria, executable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├── webapp/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└── app_analyst_console.py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└── docs/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└── BUILD_GUIDE.md  (this file)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Why src/ is a package and not an import of the lab files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labs are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teaching scripts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 they print, they assert, they narrate.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Importing one executes it. That is correct for a lab and wrong for a deployable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component.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So the Capstone re-expresses the same logic as an importable package. That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introduces a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drift risk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two copies of the priority rules — and we close it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only honest way available: **acceptance criterion 2 asserts that the package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reproduces the same ten end states the labs produce.** If the two ever diverge,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suite fails.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3. Run it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process the batch (QUERY suspends for a human)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run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terminate QUERY instead of suspending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run --no-hitl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resume a batch that died partway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run --resume-from BNK-1004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list suspended transactions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pending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resume one, with attribution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resume "&lt;thread_id&gt;"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--action assign_code --reason-code D01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--by "J. Okonkwo (Deductions)"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--rationale "Customer confirmed a contracted price variance by phone."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the seven acceptance criteria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Capstone/tests/test_acceptance.py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the analyst console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Capstone/webapp/app_analyst_console.py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Prerequisite: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run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Day2_RAG/solutions/lab01_vector_ingestion.py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once. It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builds the remittance corpus the pipeline retrieves from. Without it,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BNK-1002 loses its reason code and BNK-1008 loses its 3-way match.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4. The seven acceptance criteria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Declared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build, on slide 5 of the Capstone deck. Declaring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expectation first is what separates a test from a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required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All six priority rules implemented and evaluated in order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unit tests per rule; matched priority recorded in state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Every transaction terminates in a declared end state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transaction finishes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; distribution reported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Deduction reasons grounded in verbatim evidence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citation check passes;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UNKNOWN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where no reason is stated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write executes without graph authorisation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audit ledger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shows refused writes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 run survives process death and resumes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kill mid-batch; resume; no duplicate ERP postings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QUERY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suspends and resumes on human input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analyst decision recorded; graph continues from the same state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Any single payment reconstructable from the log alone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run_id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trace: rule fired, evidence chunk, model output, outcome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Criterion 4 deserves a second read.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Its evidence is not "no unauthorised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write succeeded". It is "the audit ledger *shows* refused writes". Absence of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evidence is not evidence of control — if nothing was ever refused, you have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demonstrated that nobody tested it.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All seven pass in the packaged build.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5. Measured results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From a real run of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python3 -m Capstone.src.cli run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Straight-through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CLOSED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, no human)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4/10 = 40%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Requires a human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6/10 = 60%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Failed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0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End-state distribution: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CLOSED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4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PARTIAL_MATCH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2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 ·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UIC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AWAITING_HUMAN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These reproduce the frozen Day 1–3 baseline exactly, which is what criterion 2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checks.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Figures were produced on the offline stub with a lexical embedder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re-measure on Path A and state the backend alongside any number you publish.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6. Architecture, layer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LangGraph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control flow, 2-way/3-way branching,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interrupt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QUERY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Document intelligence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Azure AI Foundry + Chroma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parse remittance prose, map to D01–D05 with verbatim grounding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tool registry (MCP-shaped)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typed, permissioned calls into ERP data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Control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guardrails + observability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block injection, redact output, log refusals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The architectural control, stated plainly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model cannot authorise a write.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ToolRegistry.invoke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refuses any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write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tool unless the caller passes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allow_write=True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and only the graph does that,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only from a state that justifies it.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successful prompt injection therefore corrupts a *recommendation*. It does not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move money, because the model was never holding that authority to give away.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This containment costs nothing at runtime — it was paid for at design time, 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1, by choosing a state machine over an agent that acts.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7. Open items carried into the capstone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These are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client decisions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not implementation defects. The system surfaces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each one rather than papering over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build handles it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end state for an overpayment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BNK-1010 (+$1,000) routes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QUERY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; the trace says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SPECIFICATION GAP S1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S3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One-to-many cash application undefined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BNK-1008 settles two invoices with one payment; priority 5 matches the first and reports a false overpayment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S2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UAC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defined two ways in the source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implements the Example D reading (payer identifiability); documented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classify_exception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S4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currency or FX handling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not implemented; all amounts are USD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Full detail and remediation priority: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00_Program/CURRICULUM_GAP_ANALYSIS.md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8. Operational realities before you deploy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Latency budget.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Model calls dominate. Measure your endpoint (Day 2 Lab 2),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multiply by volume and calls-per-payment, and check it fits your batch window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*before* designing anything else. If it doesn't, the answer is fewer model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calls, not a faster model.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Partial failure.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batch that dies at transaction 4,000 must resume, not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restart — restarting risks re-posting to an ERP. Idempotency keys on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create_dispute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make a replay a no-op; criterion 5 proves it.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Queue capacity.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Every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AWAITING_HUMAN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lands in a human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queue. If the exception rate exceeds the team's capacity, automation has moved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bottleneck rather than removed it. **Model the exception queue before you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model the happy path** — this is what sinks programmes.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Checkpoint hygiene.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Every checkpoint persists the *whole* state. If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remittance_text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holds 40 KB of PDF, that is 40 KB per node per payment.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checkpoints contain customer data: they need a retention policy and something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that deletes them. A checkpoint store with no deletion story is a compliance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finding that looks like plumbing.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`thread_id` must be unique per payment.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shared one means resuming 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transaction resumes whichever ran last — silent, and very unpleasant.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Money is `float` here, `Decimal` in production.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to_decimal()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exists in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domain.py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so the posting layer converts at the boundary. This is a courseware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simplification, not a design position.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9. What to report to a steering committee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Three pairs of numbers. Reporting only the left column is how a business case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gets overstated.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Flattering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Honest partner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Match rate — a rule found an invoice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Straight-through — closed with no human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Straight-through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Coded &amp; routed — exceptions made actionable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Catch rate — attacks blocked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False positives — legitimate items wrongly blocked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Also report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what the system refused to do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 blocked writes, hallucinated tool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names, held transactions. It is the only direct evidence your controls are live,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it costs nothing extra — the records are already being written.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name the baseline. An automation target is a measurement problem before it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training outcome; you cannot improve a percentage against a baseline that does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exist.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AA5B1"/>
        <w:sz w:val="17"/>
        <w:szCs w:val="17"/>
      </w:rPr>
      <w:t xml:space="preserve">Capstone Build Guide · page </w:t>
    </w:r>
    <w:r>
      <w:rPr>
        <w:rFonts w:ascii="Calibri" w:cs="Calibri" w:eastAsia="Calibri" w:hAnsi="Calibri"/>
        <w:color w:val="9AA5B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Build Guide</dc:title>
  <dc:creator>Training Architecture</dc:creator>
  <cp:lastModifiedBy>Un-named</cp:lastModifiedBy>
  <cp:revision>1</cp:revision>
  <dcterms:created xsi:type="dcterms:W3CDTF">2026-08-02T15:56:58.568Z</dcterms:created>
  <dcterms:modified xsi:type="dcterms:W3CDTF">2026-08-02T15:56:58.568Z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