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Calibri" w:hAnsi="Calibri"/>
          <w:b/>
          <w:color w:val="1E40AF"/>
          <w:sz w:val="44"/>
        </w:rPr>
        <w:t>AEGIS: Financial Fraud &amp; Money Mule Detection System</w:t>
      </w:r>
    </w:p>
    <w:p>
      <w:pPr>
        <w:spacing w:after="160"/>
      </w:pPr>
      <w:r>
        <w:rPr>
          <w:rFonts w:ascii="Calibri" w:hAnsi="Calibri"/>
          <w:color w:val="64748B"/>
          <w:sz w:val="24"/>
        </w:rPr>
        <w:t>Complete User Interface Guide, Dashboard Telemetry, and Architecture Manual</w:t>
      </w:r>
    </w:p>
    <w:p>
      <w:pPr>
        <w:spacing w:after="280"/>
      </w:pPr>
      <w:r>
        <w:rPr>
          <w:rFonts w:ascii="Calibri" w:hAnsi="Calibri"/>
          <w:i/>
          <w:color w:val="1E40AF"/>
          <w:sz w:val="20"/>
        </w:rPr>
        <w:t>Live Website: https://aegis-edi.vercel.app</w:t>
        <w:br/>
        <w:t>Department of CSE (AI &amp; ML), VIT Pune | EDI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100" w:after="100"/>
            </w:pPr>
            <w:r>
              <w:rPr>
                <w:b/>
                <w:color w:val="1E40AF"/>
                <w:sz w:val="20"/>
              </w:rPr>
              <w:t xml:space="preserve">EXECUTIVE SUMMARY: </w:t>
            </w:r>
            <w:r>
              <w:rPr>
                <w:color w:val="1E293B"/>
                <w:sz w:val="20"/>
              </w:rPr>
              <w:t>This document is prepared to provide evaluators, faculty, and compliance analysts with an easy-to-understand explanation of every card, metric, button, and visual widget across the AEGIS platform.</w:t>
            </w:r>
          </w:p>
        </w:tc>
      </w:tr>
    </w:tbl>
    <w:p>
      <w:pPr>
        <w:spacing w:after="60"/>
      </w:pP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1. Project Overview &amp; Biomimetic Concept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Money laundering syndicates deploy mule accounts to funnel illicit funds through automated micro-transfers (smurfing) and rapid cash-out conduits. Traditional banking systems rely on static thresholds or isolated machine-learning classifiers that produce high false-positive rates and zero explainability.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AEGIS implements a biomimetic multi-layer defense framework modeled on the human immune system: Innate Immunity (rapid temporal velocity rules), Adaptive Immunity (sequence Transformer deep learning, unsupervised Isolation Forests, and NetworkX topological graph analysis), and Formal Immune Memory (vector-based historical threat retrieval, mathematical Z3 invariant proofs, and on-premise local LLM intelligence briefs).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2. Screen 1: Security &amp; Fraud Overview Dashboard (/dashboard)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Dashboard is the primary operational console giving compliance teams real-time visibility into overall financial health, anomalous velocity, and active risk.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A. Top Primary Stat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 Card</w:t>
            </w:r>
          </w:p>
        </w:tc>
        <w:tc>
          <w:tcPr>
            <w:tcW w:type="dxa" w:w="1728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Sample Value</w:t>
            </w:r>
          </w:p>
        </w:tc>
        <w:tc>
          <w:tcPr>
            <w:tcW w:type="dxa" w:w="5472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It Represents &amp; Real-World Impact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Monitored Accounts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1,959</w:t>
            </w:r>
          </w:p>
        </w:tc>
        <w:tc>
          <w:tcPr>
            <w:tcW w:type="dxa" w:w="5472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Total pool of customer and corporate accounts actively monitored. Includes 30-day growth trend (+3.8%).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Mule Candidates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14</w:t>
            </w:r>
          </w:p>
        </w:tc>
        <w:tc>
          <w:tcPr>
            <w:tcW w:type="dxa" w:w="5472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High-priority accounts with composite threat scores &gt;= 70/100, flagged for rapid fund dispersal or pass-through behavior.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Active Alerts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23</w:t>
            </w:r>
          </w:p>
        </w:tc>
        <w:tc>
          <w:tcPr>
            <w:tcW w:type="dxa" w:w="5472"/>
            <w:shd w:fill="FFFFFF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Unresolved anomalies detected across Temporal, Behavioral, and Graph layers awaiting compliance triage.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Pending Dossiers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8</w:t>
            </w:r>
          </w:p>
        </w:tc>
        <w:tc>
          <w:tcPr>
            <w:tcW w:type="dxa" w:w="5472"/>
            <w:shd w:fill="F8FAFC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Formal investigation cases compiled and currently under review by human investigators before filing a SAR.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B. Analytics Charts &amp; Widgets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Transaction Velocity &amp; Anomaly Trends (Area Chart): Plots total 24-hour transaction flow (Cyan area) alongside flagged suspicious transaction volume (Rose area). Sudden spikes in the rose area reveal automated fund extraction batches, often occurring during off-peak hours.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2. Risk Distribution by Tier (Bar Chart): Visualizes account population across 4 calibrated tiers: Low Risk (Green, benign users), Moderate (Yellow, slight deviation), Elevated (Orange, nearing velocity barriers), and Critical/High (Red, verified mule candidates).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3. Biomimetic Defense System Status Card: Displays active health checks for Innate Immunity (Rules), Adaptive Immunity (Transformers), Network Topology (Graph), and Formal Grounding (Z3 Proofs).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4. Sync Engine Button: Located in the top header. Clicking this forces a live synchronization with the detection engine to refresh metrics.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3. Screen 2: Data Ingestion &amp; Real-Time Validation (/data-import)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Data Ingestion module enables users to upload raw financial transaction batches (.CSV or .JSON) and execute multi-layer detection pipelines.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A. Pre-Validation Safeguards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Strict 250 MB Size Limit: Enforces a strict ceiling on uploaded files, preventing memory exhaustion and reporting exact byte counts.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Instant Schema Inspector: The moment a file is dropped into the zone, AEGIS inspects its header to verify the 6 Canonical Fields: transaction_id, sender_account_id, receiver_account_id, amount, currency, and timestamp.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Schema Badges: Displays 'Ready for Ingestion (AEGIS_CANONICAL)' in green when valid, or clearly lists missing fields when incompatible schemas are detected.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B. Execution Results &amp; Quality Scoring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Run AEGIS Detection Pipeline Button: Triggers the ingestion engine with an animated progress bar from 0% to 100%.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Dataset Validation Card: Displays total processed records (e.g. 663,373), valid count, rejected count, Quality Score (100.0% EXCELLENT), and an expandable row-by-row error inspector.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Pipeline Summary Counters: Confirms transactions processed, accounts analyzed, anomalies detected, suspicious networks, alerts raised, and cases generated.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4. Screens 3, 4 &amp; 5: Alerts, Monitored Accounts, and Transactions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Active Alerts Inbox (/alerts): Features severity tabs (ALL, CRITICAL, HIGH, MEDIUM, LOW) and account search. Each alert displays a unique ID with one-click copy, threat type (e.g. MULTI_LAYER_MULE_RISK, STRUCTURING_SMURFING, CYCLE_TOPOLOGY), risk score, and status.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Monitored Accounts Directory (/accounts): Lists customer accounts with their composite risk scores, status (FLAGGED, UNDER_REVIEW, FROZEN, ACTIVE), and total transaction volume (Sent/Received). Clicking an account navigates directly to its topological graph.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Transaction Ledger (/transactions): Live audit ledger displaying sender, receiver, amount, currency, ISO timestamp, and flag status. Includes a 'Flagged Only' toggle for rapid auditing.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5. Screen 6: Case Management &amp; 12-Stage Investigation Engine (/cases)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Investigation Workbench is the flagship module of AEGIS, providing full compliance transparency and explainability.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A. The 12 Autonomous Pipeline Stages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Data Ingestion: Streams transaction records.</w:t>
        <w:br/>
        <w:t>2. Preprocessing &amp; Data Quality: Cleans missing values and standardizes datetimes.</w:t>
        <w:br/>
        <w:t>3. Temporal Velocity &amp; Structuring: Flags transfers under statutory reporting thresholds.</w:t>
        <w:br/>
        <w:t>4. Transformer Sequence Inference: PyTorch sequence anomaly scoring.</w:t>
        <w:br/>
        <w:t>5. Behavioral Outlier Detection: Scikit-learn Isolation Forest profiling 8 dimensions.</w:t>
        <w:br/>
        <w:t>6. Graph Correlation &amp; Cycle Analysis: NetworkX cycle and conduit detection.</w:t>
        <w:br/>
        <w:t>7. Multi-Layer Evidence Fusion: Synthesizes scores into calibrated 0-100 composite risk.</w:t>
        <w:br/>
        <w:t>8. SHAP Feature Attribution: TreeExplainer computing exact risk driver contributions.</w:t>
        <w:br/>
        <w:t>9. Formal Logic Verification: Mathematical Z3 invariant theorem grounding.</w:t>
        <w:br/>
        <w:t>10. Threat Memory Retrieval: Vector cosine similarity matching against known syndicates.</w:t>
        <w:br/>
        <w:t>11. Local Investigation Intelligence: Local Ollama / Llama 3 generating narrative briefs.</w:t>
        <w:br/>
        <w:t>12. Final Compliance Dossier Compilation: Assembles regulatory SAR artifact.</w:t>
      </w:r>
    </w:p>
    <w:p>
      <w:pPr>
        <w:spacing w:before="240" w:after="80"/>
      </w:pPr>
      <w:r>
        <w:rPr>
          <w:rFonts w:ascii="Calibri" w:hAnsi="Calibri"/>
          <w:b/>
          <w:color w:val="1E40AF"/>
          <w:sz w:val="26"/>
        </w:rPr>
        <w:t>B. Dossier Components &amp; Formal Grounding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Risk Profile Card: Displays composite risk score (e.g. 92.4/100), classification ('Coordinated Smurfing &amp; Mule Aggregator'), and confidence (94%).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Formal Verification Proofs (Z3): Proves mathematically that AML invariants hold true with zero counterexamples: RapidDisbursement (funds drained &lt;300s), StructuringThresholdBarrier, and CircularTopology.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SHAP Drivers: Tells investigators why the account was flagged (+0.38 fan_in_velocity, +0.29 structuring_proximity).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Threat Memory Corroboration: Shows 93% cosine match with historical Cryptocurrency Mule Syndicate 081.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Local LLM Brief: Formats a complete regulatory narrative without leaking banking data to cloud APIs.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Regulatory Actions: Buttons for 'Confirm Mule (True Positive)' and 'Mark False Positive', updating threat memory in real-time.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6. Screen 7: Interactive Financial Network Graph (/graph)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Powered by dynamic D3.js force-directed simulations, this module visualizes complex laundering topologies: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Red Nodes (Mule Aggregators): High-centrality accounts accumulating multiple inbound wires.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Amber Nodes (Smurfing Sources): Smurf accounts sending structured amounts below legal limits.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Outlined Gateways: Offramp crypto merchants or high-risk OTC brokers where laundered funds exit.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• Interactive Physics: Users can zoom, pan, drag nodes, and click any account to view degree, betweenness centrality, and risk score.</w:t>
      </w:r>
    </w:p>
    <w:p>
      <w:pPr>
        <w:spacing w:before="320" w:after="120"/>
      </w:pPr>
      <w:r>
        <w:rPr>
          <w:rFonts w:ascii="Calibri" w:hAnsi="Calibri"/>
          <w:b/>
          <w:color w:val="1E40AF"/>
          <w:sz w:val="34"/>
        </w:rPr>
        <w:t>7. Step-by-Step User Workflows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Workflow 1: Ingesting a Dataset</w:t>
        <w:br/>
        <w:t>1. Go to /data-import -&gt; Drag transaction CSV -&gt; Verify 'Ready for Ingestion' badge -&gt; Click 'Run AEGIS Detection Pipeline' -&gt; View validation report.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Workflow 2: Investigating an Account</w:t>
        <w:br/>
        <w:t>1. Go to /cases -&gt; Select a case (e.g. CASE-20260914-8599) -&gt; Click 'Run Full AEGIS Investigation' -&gt; Watch 12 stages run -&gt; Review Z3 theorems &amp; SHAP drivers -&gt; Click 'Confirm Mule' to record regulatory decision.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