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p>
      <w:pPr>
        <w:spacing w:after="60" w:before="0"/>
        <w:jc w:val="center"/>
      </w:pPr>
      <w:r>
        <w:rPr>
          <w:rFonts w:ascii="Arial" w:cs="Arial" w:eastAsia="Arial" w:hAnsi="Arial"/>
          <w:b/>
          <w:bCs/>
          <w:color w:val="6366F1"/>
          <w:sz w:val="52"/>
          <w:szCs w:val="52"/>
        </w:rPr>
        <w:t xml:space="preserve">FINEDGE LENDING</w:t>
      </w:r>
    </w:p>
    <w:p>
      <w:pPr>
        <w:spacing w:after="80" w:before="0"/>
        <w:jc w:val="center"/>
      </w:pPr>
      <w:r>
        <w:rPr>
          <w:rFonts w:ascii="Arial" w:cs="Arial" w:eastAsia="Arial" w:hAnsi="Arial"/>
          <w:b/>
          <w:bCs/>
          <w:color w:val="1F2937"/>
          <w:sz w:val="36"/>
          <w:szCs w:val="36"/>
        </w:rPr>
        <w:t xml:space="preserve">Credit Risk &amp; Revenue Leakage Report</w:t>
      </w:r>
    </w:p>
    <w:p>
      <w:pPr>
        <w:pBdr>
          <w:bottom w:val="single" w:color="6366F1" w:sz="6" w:space="1"/>
        </w:pBdr>
        <w:spacing w:after="120" w:before="120"/>
      </w:pPr>
    </w:p>
    <w:p>
      <w:pPr>
        <w:spacing w:after="0" w:before="80"/>
      </w:pPr>
    </w:p>
    <w:p>
      <w:pPr>
        <w:spacing w:after="40" w:before="40"/>
        <w:jc w:val="center"/>
      </w:pPr>
      <w:r>
        <w:rPr>
          <w:rFonts w:ascii="Arial" w:cs="Arial" w:eastAsia="Arial" w:hAnsi="Arial"/>
          <w:i/>
          <w:iCs/>
          <w:color w:val="6B7280"/>
          <w:sz w:val="18"/>
          <w:szCs w:val="18"/>
        </w:rPr>
        <w:t xml:space="preserve">Confidential — Internal Use Only</w:t>
      </w:r>
    </w:p>
    <w:p>
      <w:pPr>
        <w:spacing w:after="40" w:before="40"/>
        <w:jc w:val="center"/>
      </w:pPr>
      <w:r>
        <w:rPr>
          <w:rFonts w:ascii="Arial" w:cs="Arial" w:eastAsia="Arial" w:hAnsi="Arial"/>
          <w:color w:val="6B7280"/>
          <w:sz w:val="18"/>
          <w:szCs w:val="18"/>
        </w:rPr>
        <w:t xml:space="preserve">Dataset: 32,401 loans (cleaned)   |   Tools: SQL, Python, Excel, Power BI</w:t>
      </w:r>
    </w:p>
    <w:p>
      <w:pPr>
        <w:spacing w:after="0" w:before="80"/>
      </w:pPr>
    </w:p>
    <w:p>
      <w:pPr>
        <w:pStyle w:val="Heading1"/>
        <w:spacing w:after="100" w:before="200"/>
      </w:pPr>
      <w:r>
        <w:rPr>
          <w:rFonts w:ascii="Arial" w:cs="Arial" w:eastAsia="Arial" w:hAnsi="Arial"/>
          <w:b/>
          <w:bCs/>
          <w:color w:val="1F2937"/>
        </w:rPr>
        <w:t xml:space="preserve">1. Executive Summary</w:t>
      </w:r>
    </w:p>
    <w:p>
      <w:pPr>
        <w:spacing w:after="80" w:before="80"/>
        <w:jc w:val="left"/>
      </w:pPr>
      <w:r>
        <w:rPr>
          <w:rFonts w:ascii="Arial" w:cs="Arial" w:eastAsia="Arial" w:hAnsi="Arial"/>
          <w:b w:val="false"/>
          <w:bCs w:val="false"/>
          <w:i w:val="false"/>
          <w:iCs w:val="false"/>
          <w:color w:val="1F2937"/>
          <w:sz w:val="20"/>
          <w:szCs w:val="20"/>
        </w:rPr>
        <w:t xml:space="preserve">FinEdge Lending is facing a severe non-performing asset (NPA) crisis. With a portfolio default rate of 21.8% — more than four times the industry healthy benchmark of 5% — the company is experiencing significant and quantifiable revenue losses. This report presents a full data-driven analysis of the credit portfolio and provides actionable recommendations to reduce the default rate to 15% or below within 12 months.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20" w:before="60"/>
              <w:jc w:val="center"/>
            </w:pPr>
            <w:r>
              <w:rPr>
                <w:rFonts w:ascii="Arial" w:cs="Arial" w:eastAsia="Arial" w:hAnsi="Arial"/>
                <w:b/>
                <w:bCs/>
                <w:color w:val="DC2626"/>
                <w:sz w:val="36"/>
                <w:szCs w:val="36"/>
              </w:rPr>
              <w:t xml:space="preserve">21.8%</w:t>
            </w:r>
          </w:p>
          <w:p>
            <w:pPr>
              <w:spacing w:after="60" w:before="0"/>
              <w:jc w:val="center"/>
            </w:pPr>
            <w:r>
              <w:rPr>
                <w:rFonts w:ascii="Arial" w:cs="Arial" w:eastAsia="Arial" w:hAnsi="Arial"/>
                <w:color w:val="6B7280"/>
                <w:sz w:val="16"/>
                <w:szCs w:val="16"/>
              </w:rPr>
              <w:t xml:space="preserve">Portfolio Default Rate</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20" w:before="60"/>
              <w:jc w:val="center"/>
            </w:pPr>
            <w:r>
              <w:rPr>
                <w:rFonts w:ascii="Arial" w:cs="Arial" w:eastAsia="Arial" w:hAnsi="Arial"/>
                <w:b/>
                <w:bCs/>
                <w:color w:val="DC2626"/>
                <w:sz w:val="36"/>
                <w:szCs w:val="36"/>
              </w:rPr>
              <w:t xml:space="preserve">$107M</w:t>
            </w:r>
          </w:p>
          <w:p>
            <w:pPr>
              <w:spacing w:after="60" w:before="0"/>
              <w:jc w:val="center"/>
            </w:pPr>
            <w:r>
              <w:rPr>
                <w:rFonts w:ascii="Arial" w:cs="Arial" w:eastAsia="Arial" w:hAnsi="Arial"/>
                <w:color w:val="6B7280"/>
                <w:sz w:val="16"/>
                <w:szCs w:val="16"/>
              </w:rPr>
              <w:t xml:space="preserve">Revenue Leakage (Worst Case)</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20" w:before="60"/>
              <w:jc w:val="center"/>
            </w:pPr>
            <w:r>
              <w:rPr>
                <w:rFonts w:ascii="Arial" w:cs="Arial" w:eastAsia="Arial" w:hAnsi="Arial"/>
                <w:b/>
                <w:bCs/>
                <w:color w:val="6366F1"/>
                <w:sz w:val="36"/>
                <w:szCs w:val="36"/>
              </w:rPr>
              <w:t xml:space="preserve">$311M</w:t>
            </w:r>
          </w:p>
          <w:p>
            <w:pPr>
              <w:spacing w:after="60" w:before="0"/>
              <w:jc w:val="center"/>
            </w:pPr>
            <w:r>
              <w:rPr>
                <w:rFonts w:ascii="Arial" w:cs="Arial" w:eastAsia="Arial" w:hAnsi="Arial"/>
                <w:color w:val="6B7280"/>
                <w:sz w:val="16"/>
                <w:szCs w:val="16"/>
              </w:rPr>
              <w:t xml:space="preserve">Total Portfolio Value</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20" w:before="60"/>
              <w:jc w:val="center"/>
            </w:pPr>
            <w:r>
              <w:rPr>
                <w:rFonts w:ascii="Arial" w:cs="Arial" w:eastAsia="Arial" w:hAnsi="Arial"/>
                <w:b/>
                <w:bCs/>
                <w:color w:val="16A34A"/>
                <w:sz w:val="36"/>
                <w:szCs w:val="36"/>
              </w:rPr>
              <w:t xml:space="preserve">32,401</w:t>
            </w:r>
          </w:p>
          <w:p>
            <w:pPr>
              <w:spacing w:after="60" w:before="0"/>
              <w:jc w:val="center"/>
            </w:pPr>
            <w:r>
              <w:rPr>
                <w:rFonts w:ascii="Arial" w:cs="Arial" w:eastAsia="Arial" w:hAnsi="Arial"/>
                <w:color w:val="6B7280"/>
                <w:sz w:val="16"/>
                <w:szCs w:val="16"/>
              </w:rPr>
              <w:t xml:space="preserve">Loans Analysed (Cleaned)</w:t>
            </w:r>
          </w:p>
        </w:tc>
      </w:tr>
    </w:tbl>
    <w:p>
      <w:pPr>
        <w:spacing w:after="0" w:before="80"/>
      </w:pPr>
    </w:p>
    <w:p>
      <w:pPr>
        <w:spacing w:after="80" w:before="80"/>
        <w:jc w:val="left"/>
      </w:pPr>
      <w:r>
        <w:rPr>
          <w:rFonts w:ascii="Arial" w:cs="Arial" w:eastAsia="Arial" w:hAnsi="Arial"/>
          <w:b w:val="false"/>
          <w:bCs w:val="false"/>
          <w:i w:val="false"/>
          <w:iCs w:val="false"/>
          <w:color w:val="1F2937"/>
          <w:sz w:val="20"/>
          <w:szCs w:val="20"/>
        </w:rPr>
        <w:t xml:space="preserve">Data cleaning retained 97.2% of records (32,581 raw → 32,401 analysis-ready) after removing 165 exact duplicates, 15 biologically impossible records, and 5 cross-field logical inconsistencies. Missing values were imputed using grade-wise medians after cleaning — not before — to prevent garbage values from distorting imputation statistics.</w:t>
      </w:r>
    </w:p>
    <w:p>
      <w:pPr>
        <w:spacing w:after="0" w:before="80"/>
      </w:pPr>
    </w:p>
    <w:p>
      <w:pPr>
        <w:pStyle w:val="Heading1"/>
        <w:spacing w:after="100" w:before="200"/>
      </w:pPr>
      <w:r>
        <w:rPr>
          <w:rFonts w:ascii="Arial" w:cs="Arial" w:eastAsia="Arial" w:hAnsi="Arial"/>
          <w:b/>
          <w:bCs/>
          <w:color w:val="1F2937"/>
        </w:rPr>
        <w:t xml:space="preserve">2. Key Findings</w:t>
      </w:r>
    </w:p>
    <w:p>
      <w:pPr>
        <w:pStyle w:val="Heading2"/>
        <w:spacing w:after="100" w:before="200"/>
      </w:pPr>
      <w:r>
        <w:rPr>
          <w:rFonts w:ascii="Arial" w:cs="Arial" w:eastAsia="Arial" w:hAnsi="Arial"/>
          <w:b/>
          <w:bCs/>
          <w:color w:val="1F2937"/>
        </w:rPr>
        <w:t xml:space="preserve">2.1 Grade-Level Risk Distribution</w:t>
      </w:r>
    </w:p>
    <w:p>
      <w:pPr>
        <w:spacing w:after="80" w:before="80"/>
        <w:jc w:val="left"/>
      </w:pPr>
      <w:r>
        <w:rPr>
          <w:rFonts w:ascii="Arial" w:cs="Arial" w:eastAsia="Arial" w:hAnsi="Arial"/>
          <w:b w:val="false"/>
          <w:bCs w:val="false"/>
          <w:i w:val="false"/>
          <w:iCs w:val="false"/>
          <w:color w:val="1F2937"/>
          <w:sz w:val="20"/>
          <w:szCs w:val="20"/>
        </w:rPr>
        <w:t xml:space="preserve">Loan grade is the primary risk predictor, but the current interest rate model does not adequately compensate for the actual default rates observed in Grade D through 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Grade</w:t>
            </w:r>
          </w:p>
        </w:tc>
        <w:tc>
          <w:tcPr>
            <w:tcW w:type="dxa" w:w="156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Total Loans</w:t>
            </w:r>
          </w:p>
        </w:tc>
        <w:tc>
          <w:tcPr>
            <w:tcW w:type="dxa" w:w="156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Default Rate</w:t>
            </w:r>
          </w:p>
        </w:tc>
        <w:tc>
          <w:tcPr>
            <w:tcW w:type="dxa" w:w="156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Avg Loan ($)</w:t>
            </w:r>
          </w:p>
        </w:tc>
        <w:tc>
          <w:tcPr>
            <w:tcW w:type="dxa" w:w="156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Avg Rate (%)</w:t>
            </w:r>
          </w:p>
        </w:tc>
        <w:tc>
          <w:tcPr>
            <w:tcW w:type="dxa" w:w="156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Portfolio at Risk ($M)</w:t>
            </w:r>
          </w:p>
        </w:tc>
      </w:tr>
      <w:tr>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A</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10,731</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6A34A"/>
                <w:sz w:val="18"/>
                <w:szCs w:val="18"/>
              </w:rPr>
              <w:t xml:space="preserve">9.9%</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$8,540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7.3%</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$8.5M</w:t>
            </w:r>
          </w:p>
        </w:tc>
      </w:tr>
      <w:tr>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B</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10,417</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D97706"/>
                <w:sz w:val="18"/>
                <w:szCs w:val="18"/>
              </w:rPr>
              <w:t xml:space="preserve">16.3%</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$10,001</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11.0%</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$16.9M</w:t>
            </w:r>
          </w:p>
        </w:tc>
      </w:tr>
      <w:tr>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C</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6,437</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D97706"/>
                <w:sz w:val="18"/>
                <w:szCs w:val="18"/>
              </w:rPr>
              <w:t xml:space="preserve">20.7%</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$9,219</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13.5%</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$13.3M</w:t>
            </w:r>
          </w:p>
        </w:tc>
      </w:tr>
      <w:tr>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D</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3,617</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59.0%</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$10,856</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15.4%</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$23.2M</w:t>
            </w:r>
          </w:p>
        </w:tc>
      </w:tr>
      <w:tr>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E</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962</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64.4%</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$12,927</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17.0%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$8.0M</w:t>
            </w:r>
          </w:p>
        </w:tc>
      </w:tr>
      <w:tr>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F</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241</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70.5%</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$14,723</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18.6%</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$2.5M</w:t>
            </w:r>
          </w:p>
        </w:tc>
      </w:tr>
      <w:tr>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G</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64</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98.4%</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$17,201</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$1.1M</w:t>
            </w:r>
          </w:p>
        </w:tc>
      </w:tr>
    </w:tbl>
    <w:p>
      <w:pPr>
        <w:spacing w:after="0" w:before="80"/>
      </w:pPr>
    </w:p>
    <w:p>
      <w:pPr>
        <w:spacing w:after="80" w:before="80"/>
        <w:jc w:val="left"/>
      </w:pPr>
      <w:r>
        <w:rPr>
          <w:rFonts w:ascii="Arial" w:cs="Arial" w:eastAsia="Arial" w:hAnsi="Arial"/>
          <w:b w:val="false"/>
          <w:bCs w:val="false"/>
          <w:i/>
          <w:iCs/>
          <w:color w:val="1F2937"/>
          <w:sz w:val="20"/>
          <w:szCs w:val="20"/>
        </w:rPr>
        <w:t xml:space="preserve">Key insight: Grade D has the highest absolute dollar exposure ($23.2M) despite having the lowest default rate among the high-risk grades. Volume, not just percentage, determines business impact. Risk mitigation resources should prioritise Grade D before Grade G.</w:t>
      </w:r>
    </w:p>
    <w:p>
      <w:pPr>
        <w:spacing w:after="0" w:before="80"/>
      </w:pPr>
    </w:p>
    <w:p>
      <w:pPr>
        <w:pStyle w:val="Heading2"/>
        <w:spacing w:after="100" w:before="200"/>
      </w:pPr>
      <w:r>
        <w:rPr>
          <w:rFonts w:ascii="Arial" w:cs="Arial" w:eastAsia="Arial" w:hAnsi="Arial"/>
          <w:b/>
          <w:bCs/>
          <w:color w:val="1F2937"/>
        </w:rPr>
        <w:t xml:space="preserve">2.2 The DTI Cliff Effect — Most Actionable Finding</w:t>
      </w:r>
    </w:p>
    <w:p>
      <w:pPr>
        <w:spacing w:after="80" w:before="80"/>
        <w:jc w:val="left"/>
      </w:pPr>
      <w:r>
        <w:rPr>
          <w:rFonts w:ascii="Arial" w:cs="Arial" w:eastAsia="Arial" w:hAnsi="Arial"/>
          <w:b w:val="false"/>
          <w:bCs w:val="false"/>
          <w:i w:val="false"/>
          <w:iCs w:val="false"/>
          <w:color w:val="1F2937"/>
          <w:sz w:val="20"/>
          <w:szCs w:val="20"/>
        </w:rPr>
        <w:t xml:space="preserve">Analysis of loan-to-income ratio (DTI) reveals a non-linear risk threshold at 30%: below this level, default rates rise gradually; crossing it, rates triple instantaneously.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DTI Bucket</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Loan Count</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Default Rate</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Risk Classification</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&lt; 10%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10,386</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16A34A"/>
                <w:sz w:val="18"/>
                <w:szCs w:val="18"/>
              </w:rPr>
              <w:t xml:space="preserve">11.8%</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Acceptable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10 – 20%</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11,963</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16A34A"/>
                <w:sz w:val="18"/>
                <w:szCs w:val="18"/>
              </w:rPr>
              <w:t xml:space="preserve">15.1%</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Acceptable</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20 – 30%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6,147</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D97706"/>
                <w:sz w:val="18"/>
                <w:szCs w:val="18"/>
              </w:rPr>
              <w:t xml:space="preserve">22.0%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Elevated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30 – 40%</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2,693</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68.9%</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CRITICAL — Cliff Point</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&gt; 40%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1,112</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74.2%</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CRITICAL</w:t>
            </w:r>
          </w:p>
        </w:tc>
      </w:tr>
    </w:tbl>
    <w:p>
      <w:pPr>
        <w:spacing w:after="0" w:before="80"/>
      </w:pPr>
    </w:p>
    <w:p>
      <w:pPr>
        <w:spacing w:after="80" w:before="80"/>
        <w:jc w:val="left"/>
      </w:pPr>
      <w:r>
        <w:rPr>
          <w:rFonts w:ascii="Arial" w:cs="Arial" w:eastAsia="Arial" w:hAnsi="Arial"/>
          <w:b w:val="false"/>
          <w:bCs w:val="false"/>
          <w:i/>
          <w:iCs/>
          <w:color w:val="1F2937"/>
          <w:sz w:val="20"/>
          <w:szCs w:val="20"/>
        </w:rPr>
        <w:t xml:space="preserve">Recommendation: Implement a hard DTI underwriting cap of 30%. This is a data-backed, dynamic threshold — not an assumption. For RENT-status borrowers specifically, the combination of DTI &gt; 30% produced a 100% default rate across 2,339 loans (statistically confirmed — large enough sample to be reliable).</w:t>
      </w:r>
    </w:p>
    <w:p>
      <w:pPr>
        <w:spacing w:after="0" w:before="80"/>
      </w:pPr>
    </w:p>
    <w:p>
      <w:pPr>
        <w:pStyle w:val="Heading2"/>
        <w:spacing w:after="100" w:before="200"/>
      </w:pPr>
      <w:r>
        <w:rPr>
          <w:rFonts w:ascii="Arial" w:cs="Arial" w:eastAsia="Arial" w:hAnsi="Arial"/>
          <w:b/>
          <w:bCs/>
          <w:color w:val="1F2937"/>
        </w:rPr>
        <w:t xml:space="preserve">2.3 Revenue Leakage Quantification</w:t>
      </w:r>
    </w:p>
    <w:p>
      <w:pPr>
        <w:spacing w:after="80" w:before="80"/>
        <w:jc w:val="left"/>
      </w:pPr>
      <w:r>
        <w:rPr>
          <w:rFonts w:ascii="Arial" w:cs="Arial" w:eastAsia="Arial" w:hAnsi="Arial"/>
          <w:b w:val="false"/>
          <w:bCs w:val="false"/>
          <w:i w:val="false"/>
          <w:iCs w:val="false"/>
          <w:color w:val="1F2937"/>
          <w:sz w:val="20"/>
          <w:szCs w:val="20"/>
        </w:rPr>
        <w:t xml:space="preserve">Revenue leakage represents income the company expected to receive but did not, due to defaults. The calculation accounts for both principal at risk and lost interest income over a 3-year average loan tenure.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20" w:before="60"/>
              <w:jc w:val="center"/>
            </w:pPr>
            <w:r>
              <w:rPr>
                <w:rFonts w:ascii="Arial" w:cs="Arial" w:eastAsia="Arial" w:hAnsi="Arial"/>
                <w:b/>
                <w:bCs/>
                <w:color w:val="DC2626"/>
                <w:sz w:val="36"/>
                <w:szCs w:val="36"/>
              </w:rPr>
              <w:t xml:space="preserve">$76.9M</w:t>
            </w:r>
          </w:p>
          <w:p>
            <w:pPr>
              <w:spacing w:after="60" w:before="0"/>
              <w:jc w:val="center"/>
            </w:pPr>
            <w:r>
              <w:rPr>
                <w:rFonts w:ascii="Arial" w:cs="Arial" w:eastAsia="Arial" w:hAnsi="Arial"/>
                <w:color w:val="6B7280"/>
                <w:sz w:val="16"/>
                <w:szCs w:val="16"/>
              </w:rPr>
              <w:t xml:space="preserve">Principal at Risk</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20" w:before="60"/>
              <w:jc w:val="center"/>
            </w:pPr>
            <w:r>
              <w:rPr>
                <w:rFonts w:ascii="Arial" w:cs="Arial" w:eastAsia="Arial" w:hAnsi="Arial"/>
                <w:b/>
                <w:bCs/>
                <w:color w:val="D97706"/>
                <w:sz w:val="36"/>
                <w:szCs w:val="36"/>
              </w:rPr>
              <w:t xml:space="preserve">$30.6M</w:t>
            </w:r>
          </w:p>
          <w:p>
            <w:pPr>
              <w:spacing w:after="60" w:before="0"/>
              <w:jc w:val="center"/>
            </w:pPr>
            <w:r>
              <w:rPr>
                <w:rFonts w:ascii="Arial" w:cs="Arial" w:eastAsia="Arial" w:hAnsi="Arial"/>
                <w:color w:val="6B7280"/>
                <w:sz w:val="16"/>
                <w:szCs w:val="16"/>
              </w:rPr>
              <w:t xml:space="preserve">Interest Income Lost</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20" w:before="60"/>
              <w:jc w:val="center"/>
            </w:pPr>
            <w:r>
              <w:rPr>
                <w:rFonts w:ascii="Arial" w:cs="Arial" w:eastAsia="Arial" w:hAnsi="Arial"/>
                <w:b/>
                <w:bCs/>
                <w:color w:val="DC2626"/>
                <w:sz w:val="36"/>
                <w:szCs w:val="36"/>
              </w:rPr>
              <w:t xml:space="preserve">$107.5M</w:t>
            </w:r>
          </w:p>
          <w:p>
            <w:pPr>
              <w:spacing w:after="60" w:before="0"/>
              <w:jc w:val="center"/>
            </w:pPr>
            <w:r>
              <w:rPr>
                <w:rFonts w:ascii="Arial" w:cs="Arial" w:eastAsia="Arial" w:hAnsi="Arial"/>
                <w:color w:val="6B7280"/>
                <w:sz w:val="16"/>
                <w:szCs w:val="16"/>
              </w:rPr>
              <w:t xml:space="preserve">Total Revenue Leakage</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20" w:before="60"/>
              <w:jc w:val="center"/>
            </w:pPr>
            <w:r>
              <w:rPr>
                <w:rFonts w:ascii="Arial" w:cs="Arial" w:eastAsia="Arial" w:hAnsi="Arial"/>
                <w:b/>
                <w:bCs/>
                <w:color w:val="D97706"/>
                <w:sz w:val="36"/>
                <w:szCs w:val="36"/>
              </w:rPr>
              <w:t xml:space="preserve">7,086</w:t>
            </w:r>
          </w:p>
          <w:p>
            <w:pPr>
              <w:spacing w:after="60" w:before="0"/>
              <w:jc w:val="center"/>
            </w:pPr>
            <w:r>
              <w:rPr>
                <w:rFonts w:ascii="Arial" w:cs="Arial" w:eastAsia="Arial" w:hAnsi="Arial"/>
                <w:color w:val="6B7280"/>
                <w:sz w:val="16"/>
                <w:szCs w:val="16"/>
              </w:rPr>
              <w:t xml:space="preserve">Defaulted Loans</w:t>
            </w:r>
          </w:p>
        </w:tc>
      </w:tr>
    </w:tbl>
    <w:p>
      <w:pPr>
        <w:spacing w:after="0" w:before="80"/>
      </w:pPr>
    </w:p>
    <w:p>
      <w:pPr>
        <w:spacing w:after="80" w:before="80"/>
        <w:jc w:val="left"/>
      </w:pPr>
      <w:r>
        <w:rPr>
          <w:rFonts w:ascii="Arial" w:cs="Arial" w:eastAsia="Arial" w:hAnsi="Arial"/>
          <w:b w:val="false"/>
          <w:bCs w:val="false"/>
          <w:i/>
          <w:iCs/>
          <w:color w:val="1F2937"/>
          <w:sz w:val="20"/>
          <w:szCs w:val="20"/>
        </w:rPr>
        <w:t xml:space="preserve">Note: This is a worst-case upper-bound estimate assuming zero recovery. Actual losses are lower due to partial collections and collateral recovery. The figure represents maximum financial exposure and should be used as the basis for risk investment decisions.</w:t>
      </w:r>
    </w:p>
    <w:p>
      <w:pPr>
        <w:spacing w:after="0" w:before="80"/>
      </w:pPr>
    </w:p>
    <w:p>
      <w:pPr>
        <w:pStyle w:val="Heading2"/>
        <w:spacing w:after="100" w:before="200"/>
      </w:pPr>
      <w:r>
        <w:rPr>
          <w:rFonts w:ascii="Arial" w:cs="Arial" w:eastAsia="Arial" w:hAnsi="Arial"/>
          <w:b/>
          <w:bCs/>
          <w:color w:val="1F2937"/>
        </w:rPr>
        <w:t xml:space="preserve">2.4 Home Ownership as a Risk Predictor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Ownership Status</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Default Rate</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Avg Income</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Risk Level</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RENT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31.6%</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$54,998</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DC2626"/>
                <w:sz w:val="18"/>
                <w:szCs w:val="18"/>
              </w:rPr>
              <w:t xml:space="preserve">High</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OTHER</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30.8%</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$76,388</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DC2626"/>
                <w:sz w:val="18"/>
                <w:szCs w:val="18"/>
              </w:rPr>
              <w:t xml:space="preserve">High</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MORTGAGE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D97706"/>
                <w:sz w:val="18"/>
                <w:szCs w:val="18"/>
              </w:rPr>
              <w:t xml:space="preserve">12.6%</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$81,127</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Moderate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OWN</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16A34A"/>
                <w:sz w:val="18"/>
                <w:szCs w:val="18"/>
              </w:rPr>
              <w:t xml:space="preserve">7.5%</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$57,835</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16A34A"/>
                <w:sz w:val="18"/>
                <w:szCs w:val="18"/>
              </w:rPr>
              <w:t xml:space="preserve">Low</w:t>
            </w:r>
          </w:p>
        </w:tc>
      </w:tr>
    </w:tbl>
    <w:p>
      <w:pPr>
        <w:spacing w:after="0" w:before="80"/>
      </w:pPr>
    </w:p>
    <w:p>
      <w:pPr>
        <w:spacing w:after="80" w:before="80"/>
        <w:jc w:val="left"/>
      </w:pPr>
      <w:r>
        <w:rPr>
          <w:rFonts w:ascii="Arial" w:cs="Arial" w:eastAsia="Arial" w:hAnsi="Arial"/>
          <w:b w:val="false"/>
          <w:bCs w:val="false"/>
          <w:i/>
          <w:iCs/>
          <w:color w:val="1F2937"/>
          <w:sz w:val="20"/>
          <w:szCs w:val="20"/>
        </w:rPr>
        <w:t xml:space="preserve">Counterintuitive finding: OWN-status borrowers have the lowest default rate (7.5%) despite having lower average income than MORTGAGE holders ($57K vs $81K). Asset ownership is a stronger stability signal than income level alone.</w:t>
      </w:r>
    </w:p>
    <w:p>
      <w:pPr>
        <w:spacing w:after="0" w:before="80"/>
      </w:pPr>
    </w:p>
    <w:p>
      <w:pPr>
        <w:pStyle w:val="Heading2"/>
        <w:spacing w:after="100" w:before="200"/>
      </w:pPr>
      <w:r>
        <w:rPr>
          <w:rFonts w:ascii="Arial" w:cs="Arial" w:eastAsia="Arial" w:hAnsi="Arial"/>
          <w:b/>
          <w:bCs/>
          <w:color w:val="1F2937"/>
        </w:rPr>
        <w:t xml:space="preserve">2.5 The Credit Tenure Paradox</w:t>
      </w:r>
    </w:p>
    <w:p>
      <w:pPr>
        <w:spacing w:after="80" w:before="80"/>
        <w:jc w:val="left"/>
      </w:pPr>
      <w:r>
        <w:rPr>
          <w:rFonts w:ascii="Arial" w:cs="Arial" w:eastAsia="Arial" w:hAnsi="Arial"/>
          <w:b w:val="false"/>
          <w:bCs w:val="false"/>
          <w:i w:val="false"/>
          <w:iCs w:val="false"/>
          <w:color w:val="1F2937"/>
          <w:sz w:val="20"/>
          <w:szCs w:val="20"/>
        </w:rPr>
        <w:t xml:space="preserve">A common assumption in credit scoring is that longer credit history significantly reduces default risk. The data challenges this assumption: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Credit History Tier</w:t>
            </w:r>
          </w:p>
        </w:tc>
        <w:tc>
          <w:tcPr>
            <w:tcW w:type="dxa" w:w="312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Applicant Count</w:t>
            </w:r>
          </w:p>
        </w:tc>
        <w:tc>
          <w:tcPr>
            <w:tcW w:type="dxa" w:w="312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Default Rate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New Credit (0-2 years)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6,214</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DC2626"/>
                <w:sz w:val="18"/>
                <w:szCs w:val="18"/>
              </w:rPr>
              <w:t xml:space="preserve">22.4%</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Established (3-5 years)</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10,533</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DC2626"/>
                <w:sz w:val="18"/>
                <w:szCs w:val="18"/>
              </w:rPr>
              <w:t xml:space="preserve">23.1%</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Experienced (6-10 years)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8,819</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D97706"/>
                <w:sz w:val="18"/>
                <w:szCs w:val="18"/>
              </w:rPr>
              <w:t xml:space="preserve">20.6%</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Veteran (10+ years)</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6,835</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D97706"/>
                <w:sz w:val="18"/>
                <w:szCs w:val="18"/>
              </w:rPr>
              <w:t xml:space="preserve">19.7%</w:t>
            </w:r>
          </w:p>
        </w:tc>
      </w:tr>
    </w:tbl>
    <w:p>
      <w:pPr>
        <w:spacing w:after="0" w:before="80"/>
      </w:pPr>
    </w:p>
    <w:p>
      <w:pPr>
        <w:spacing w:after="80" w:before="80"/>
        <w:jc w:val="left"/>
      </w:pPr>
      <w:r>
        <w:rPr>
          <w:rFonts w:ascii="Arial" w:cs="Arial" w:eastAsia="Arial" w:hAnsi="Arial"/>
          <w:b w:val="false"/>
          <w:bCs w:val="false"/>
          <w:i/>
          <w:iCs/>
          <w:color w:val="1F2937"/>
          <w:sz w:val="20"/>
          <w:szCs w:val="20"/>
        </w:rPr>
        <w:t xml:space="preserve">Finding: Veterans (10+ years) default at only 2.7% lower than New Credit borrowers. Credit history tenure is a weak primary predictor. The Work-Life Ratio (employment length / age) is a stronger stability metric and should receive higher weight in the scoring model.</w:t>
      </w:r>
    </w:p>
    <w:p>
      <w:pPr>
        <w:spacing w:after="0" w:before="80"/>
      </w:pPr>
    </w:p>
    <w:p>
      <w:pPr>
        <w:pStyle w:val="Heading2"/>
        <w:spacing w:after="100" w:before="200"/>
      </w:pPr>
      <w:r>
        <w:rPr>
          <w:rFonts w:ascii="Arial" w:cs="Arial" w:eastAsia="Arial" w:hAnsi="Arial"/>
          <w:b/>
          <w:bCs/>
          <w:color w:val="1F2937"/>
        </w:rPr>
        <w:t xml:space="preserve">2.6 Loan Intent — Stress Zone vs Growth Zone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Loan Intent</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Default Rate</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Zone</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Action</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DEBT CONSOLIDATION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DC2626"/>
                <w:sz w:val="18"/>
                <w:szCs w:val="18"/>
              </w:rPr>
              <w:t xml:space="preserve">28.0%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DC2626"/>
                <w:sz w:val="18"/>
                <w:szCs w:val="18"/>
              </w:rPr>
              <w:t xml:space="preserve">Stress Zone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Higher rate floor</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MEDICAL</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DC2626"/>
                <w:sz w:val="18"/>
                <w:szCs w:val="18"/>
              </w:rPr>
              <w:t xml:space="preserve">26.1%</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DC2626"/>
                <w:sz w:val="18"/>
                <w:szCs w:val="18"/>
              </w:rPr>
              <w:t xml:space="preserve">Stress Zone</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Higher rate floor</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PERSONAL</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D97706"/>
                <w:sz w:val="18"/>
                <w:szCs w:val="18"/>
              </w:rPr>
              <w:t xml:space="preserve">20.6%</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Watch</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Monitor</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HOME IMPROVEMENT</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16A34A"/>
                <w:sz w:val="18"/>
                <w:szCs w:val="18"/>
              </w:rPr>
              <w:t xml:space="preserve">17.2%</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Growth Zone</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Standard pricing</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EDUCATION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16A34A"/>
                <w:sz w:val="18"/>
                <w:szCs w:val="18"/>
              </w:rPr>
              <w:t xml:space="preserve">16.2%</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16A34A"/>
                <w:sz w:val="18"/>
                <w:szCs w:val="18"/>
              </w:rPr>
              <w:t xml:space="preserve">Growth Zone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Preferential rate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VENTURE</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16A34A"/>
                <w:sz w:val="18"/>
                <w:szCs w:val="18"/>
              </w:rPr>
              <w:t xml:space="preserve">14.8%</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16A34A"/>
                <w:sz w:val="18"/>
                <w:szCs w:val="18"/>
              </w:rPr>
              <w:t xml:space="preserve">Growth Zone</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Preferential rate</w:t>
            </w:r>
          </w:p>
        </w:tc>
      </w:tr>
    </w:tbl>
    <w:p>
      <w:r>
        <w:br w:type="page"/>
      </w:r>
    </w:p>
    <w:p>
      <w:pPr>
        <w:pStyle w:val="Heading1"/>
        <w:spacing w:after="100" w:before="200"/>
      </w:pPr>
      <w:r>
        <w:rPr>
          <w:rFonts w:ascii="Arial" w:cs="Arial" w:eastAsia="Arial" w:hAnsi="Arial"/>
          <w:b/>
          <w:bCs/>
          <w:color w:val="1F2937"/>
        </w:rPr>
        <w:t xml:space="preserve">3. Recommendations</w:t>
      </w:r>
    </w:p>
    <w:p>
      <w:pPr>
        <w:spacing w:after="80" w:before="80"/>
        <w:jc w:val="left"/>
      </w:pPr>
      <w:r>
        <w:rPr>
          <w:rFonts w:ascii="Arial" w:cs="Arial" w:eastAsia="Arial" w:hAnsi="Arial"/>
          <w:b w:val="false"/>
          <w:bCs w:val="false"/>
          <w:i w:val="false"/>
          <w:iCs w:val="false"/>
          <w:color w:val="1F2937"/>
          <w:sz w:val="20"/>
          <w:szCs w:val="20"/>
        </w:rPr>
        <w:t xml:space="preserve">The following seven recommendations are ranked by estimated impact on NPA reduction. Each is directly derived from data evidence in this analysis.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Priority</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Recommendation</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Expected NPA Impact</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Timeline</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P1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Implement 30% DTI hard cap in underwriting policy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DC2626"/>
                <w:sz w:val="18"/>
                <w:szCs w:val="18"/>
              </w:rPr>
              <w:t xml:space="preserve">High</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Immediate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P1</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Restrict Grade E, F, G new loan origination</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DC2626"/>
                <w:sz w:val="18"/>
                <w:szCs w:val="18"/>
              </w:rPr>
              <w:t xml:space="preserve">High</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Immediate</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97706"/>
                <w:sz w:val="18"/>
                <w:szCs w:val="18"/>
              </w:rPr>
              <w:t xml:space="preserve">P2</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Apply intent-based rate floors (Debt Consolidation +2%, Medical +1.5%)</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Moderate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30 days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D97706"/>
                <w:sz w:val="18"/>
                <w:szCs w:val="18"/>
              </w:rPr>
              <w:t xml:space="preserve">P2</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Flag RENT + DTI &gt;30% for mandatory manual underwriting review</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Moderate</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30 days</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P3</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Replace credit tenure weighting with Work-Life Ratio in scoring model</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Moderate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90 days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P3</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Create fast-track approval for OWN-status + DTI &lt;20% + Grade A-B</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color w:val="16A34A"/>
                <w:sz w:val="18"/>
                <w:szCs w:val="18"/>
              </w:rPr>
              <w:t xml:space="preserve">Positive</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90 days</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8"/>
                <w:szCs w:val="18"/>
              </w:rPr>
              <w:t xml:space="preserve">P4</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Reduce Grade D–G portfolio weight to &lt;15% of total originations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Long-term</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6 months</w:t>
            </w:r>
          </w:p>
        </w:tc>
      </w:tr>
    </w:tbl>
    <w:p>
      <w:pPr>
        <w:spacing w:after="0" w:before="80"/>
      </w:pPr>
    </w:p>
    <w:p>
      <w:pPr>
        <w:pStyle w:val="Heading2"/>
        <w:spacing w:after="100" w:before="200"/>
      </w:pPr>
      <w:r>
        <w:rPr>
          <w:rFonts w:ascii="Arial" w:cs="Arial" w:eastAsia="Arial" w:hAnsi="Arial"/>
          <w:b/>
          <w:bCs/>
          <w:color w:val="1F2937"/>
        </w:rPr>
        <w:t xml:space="preserve">3.1 Safe Haven Lending — Fast-Track Approval Criteria</w:t>
      </w:r>
    </w:p>
    <w:p>
      <w:pPr>
        <w:spacing w:after="80" w:before="80"/>
        <w:jc w:val="left"/>
      </w:pPr>
      <w:r>
        <w:rPr>
          <w:rFonts w:ascii="Arial" w:cs="Arial" w:eastAsia="Arial" w:hAnsi="Arial"/>
          <w:b w:val="false"/>
          <w:bCs w:val="false"/>
          <w:i w:val="false"/>
          <w:iCs w:val="false"/>
          <w:color w:val="1F2937"/>
          <w:sz w:val="20"/>
          <w:szCs w:val="20"/>
        </w:rPr>
        <w:t xml:space="preserve">The analysis identified borrower segments with near-zero default probability. These segments should receive streamlined approval and/or preferential interest rates to grow volume in low-risk areas while restricting high-risk origination.</w:t>
      </w:r>
    </w:p>
    <w:p>
      <w:pPr>
        <w:spacing w:after="0" w:before="80"/>
      </w:pPr>
    </w:p>
    <w:p>
      <w:pPr>
        <w:pStyle w:val="ListParagraph"/>
        <w:numPr>
          <w:ilvl w:val="0"/>
          <w:numId w:val="2"/>
        </w:numPr>
        <w:spacing w:after="40" w:before="40"/>
      </w:pPr>
      <w:r>
        <w:rPr>
          <w:rFonts w:ascii="Arial" w:cs="Arial" w:eastAsia="Arial" w:hAnsi="Arial"/>
          <w:color w:val="1F2937"/>
          <w:sz w:val="20"/>
          <w:szCs w:val="20"/>
        </w:rPr>
        <w:t xml:space="preserve">Home Ownership: OWN (7.5% default rate)</w:t>
      </w:r>
    </w:p>
    <w:p>
      <w:pPr>
        <w:pStyle w:val="ListParagraph"/>
        <w:numPr>
          <w:ilvl w:val="0"/>
          <w:numId w:val="2"/>
        </w:numPr>
        <w:spacing w:after="40" w:before="40"/>
      </w:pPr>
      <w:r>
        <w:rPr>
          <w:rFonts w:ascii="Arial" w:cs="Arial" w:eastAsia="Arial" w:hAnsi="Arial"/>
          <w:color w:val="1F2937"/>
          <w:sz w:val="20"/>
          <w:szCs w:val="20"/>
        </w:rPr>
        <w:t xml:space="preserve">Income Bracket: Medium or High (&gt;$50K annual income)</w:t>
      </w:r>
    </w:p>
    <w:p>
      <w:pPr>
        <w:pStyle w:val="ListParagraph"/>
        <w:numPr>
          <w:ilvl w:val="0"/>
          <w:numId w:val="2"/>
        </w:numPr>
        <w:spacing w:after="40" w:before="40"/>
      </w:pPr>
      <w:r>
        <w:rPr>
          <w:rFonts w:ascii="Arial" w:cs="Arial" w:eastAsia="Arial" w:hAnsi="Arial"/>
          <w:color w:val="1F2937"/>
          <w:sz w:val="20"/>
          <w:szCs w:val="20"/>
        </w:rPr>
        <w:t xml:space="preserve">Loan-to-Income Ratio: Below 20%</w:t>
      </w:r>
    </w:p>
    <w:p>
      <w:pPr>
        <w:pStyle w:val="ListParagraph"/>
        <w:numPr>
          <w:ilvl w:val="0"/>
          <w:numId w:val="2"/>
        </w:numPr>
        <w:spacing w:after="40" w:before="40"/>
      </w:pPr>
      <w:r>
        <w:rPr>
          <w:rFonts w:ascii="Arial" w:cs="Arial" w:eastAsia="Arial" w:hAnsi="Arial"/>
          <w:color w:val="1F2937"/>
          <w:sz w:val="20"/>
          <w:szCs w:val="20"/>
        </w:rPr>
        <w:t xml:space="preserve">Loan Grade: A or B</w:t>
      </w:r>
    </w:p>
    <w:p>
      <w:pPr>
        <w:pStyle w:val="ListParagraph"/>
        <w:numPr>
          <w:ilvl w:val="0"/>
          <w:numId w:val="2"/>
        </w:numPr>
        <w:spacing w:after="40" w:before="40"/>
      </w:pPr>
      <w:r>
        <w:rPr>
          <w:rFonts w:ascii="Arial" w:cs="Arial" w:eastAsia="Arial" w:hAnsi="Arial"/>
          <w:color w:val="1F2937"/>
          <w:sz w:val="20"/>
          <w:szCs w:val="20"/>
        </w:rPr>
        <w:t xml:space="preserve">Work-Life Ratio: Above 0.20 (demonstrable career stability)</w:t>
      </w:r>
    </w:p>
    <w:p>
      <w:pPr>
        <w:spacing w:after="0" w:before="80"/>
      </w:pPr>
    </w:p>
    <w:p>
      <w:pPr>
        <w:spacing w:after="80" w:before="80"/>
        <w:jc w:val="left"/>
      </w:pPr>
      <w:r>
        <w:rPr>
          <w:rFonts w:ascii="Arial" w:cs="Arial" w:eastAsia="Arial" w:hAnsi="Arial"/>
          <w:b w:val="false"/>
          <w:bCs w:val="false"/>
          <w:i/>
          <w:iCs/>
          <w:color w:val="1F2937"/>
          <w:sz w:val="20"/>
          <w:szCs w:val="20"/>
        </w:rPr>
        <w:t xml:space="preserve">Borrowers meeting all five criteria showed 0% default rate in the dataset. Creating a clearly defined fast-track lane for this profile simultaneously improves the portfolio risk mix and reduces operational cost per approved loan.</w:t>
      </w:r>
    </w:p>
    <w:p>
      <w:pPr>
        <w:spacing w:after="0" w:before="80"/>
      </w:pPr>
    </w:p>
    <w:p>
      <w:pPr>
        <w:pStyle w:val="Heading1"/>
        <w:spacing w:after="100" w:before="200"/>
      </w:pPr>
      <w:r>
        <w:rPr>
          <w:rFonts w:ascii="Arial" w:cs="Arial" w:eastAsia="Arial" w:hAnsi="Arial"/>
          <w:b/>
          <w:bCs/>
          <w:color w:val="1F2937"/>
        </w:rPr>
        <w:t xml:space="preserve">4. Methodology &amp; Data Quality</w:t>
      </w:r>
    </w:p>
    <w:p>
      <w:pPr>
        <w:pStyle w:val="Heading2"/>
        <w:spacing w:after="100" w:before="200"/>
      </w:pPr>
      <w:r>
        <w:rPr>
          <w:rFonts w:ascii="Arial" w:cs="Arial" w:eastAsia="Arial" w:hAnsi="Arial"/>
          <w:b/>
          <w:bCs/>
          <w:color w:val="1F2937"/>
        </w:rPr>
        <w:t xml:space="preserve">4.1 Data Cleaning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Pipeline Stage</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Row Count</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Rows Removed</w:t>
            </w:r>
          </w:p>
        </w:tc>
        <w:tc>
          <w:tcPr>
            <w:tcW w:type="dxa" w:w="234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Reason</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 Raw Data</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32,581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Source file as loaded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2. After Duplicate Removal</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32,416</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165</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Exact row duplicates (all 12 columns matched)</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3. After Outlier Filtering</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32,401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15</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age&gt;100, emp_length&gt;60, income&gt;$1M</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4. After Cross-Field Validation</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32,401</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5*</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age minus emp_length &lt; 16 (impossible employment start age)</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5. Final Analysis-Ready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32,401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NULLs imputed — no rows removed</w:t>
            </w:r>
          </w:p>
        </w:tc>
      </w:tr>
    </w:tbl>
    <w:p>
      <w:pPr>
        <w:spacing w:after="0" w:before="80"/>
      </w:pPr>
    </w:p>
    <w:p>
      <w:pPr>
        <w:spacing w:after="80" w:before="80"/>
        <w:jc w:val="left"/>
      </w:pPr>
      <w:r>
        <w:rPr>
          <w:rFonts w:ascii="Arial" w:cs="Arial" w:eastAsia="Arial" w:hAnsi="Arial"/>
          <w:b w:val="false"/>
          <w:bCs w:val="false"/>
          <w:i/>
          <w:iCs/>
          <w:color w:val="1F2937"/>
          <w:sz w:val="20"/>
          <w:szCs w:val="20"/>
        </w:rPr>
        <w:t xml:space="preserve">*The 5 cross-field records were borderline edge cases (age=20, credit history=4 years — possible if credit started at age 16). Removed using a conservative approach; impact on analysis is negligible.</w:t>
      </w:r>
    </w:p>
    <w:p>
      <w:pPr>
        <w:spacing w:after="0" w:before="80"/>
      </w:pPr>
    </w:p>
    <w:p>
      <w:pPr>
        <w:pStyle w:val="Heading2"/>
        <w:spacing w:after="100" w:before="200"/>
      </w:pPr>
      <w:r>
        <w:rPr>
          <w:rFonts w:ascii="Arial" w:cs="Arial" w:eastAsia="Arial" w:hAnsi="Arial"/>
          <w:b/>
          <w:bCs/>
          <w:color w:val="1F2937"/>
        </w:rPr>
        <w:t xml:space="preserve">4.2 Missing Value Strategy</w:t>
      </w:r>
    </w:p>
    <w:p>
      <w:pPr>
        <w:pStyle w:val="ListParagraph"/>
        <w:numPr>
          <w:ilvl w:val="0"/>
          <w:numId w:val="2"/>
        </w:numPr>
        <w:spacing w:after="40" w:before="40"/>
      </w:pPr>
      <w:r>
        <w:rPr>
          <w:rFonts w:ascii="Arial" w:cs="Arial" w:eastAsia="Arial" w:hAnsi="Arial"/>
          <w:color w:val="1F2937"/>
          <w:sz w:val="20"/>
          <w:szCs w:val="20"/>
        </w:rPr>
        <w:t xml:space="preserve">loan_int_rate (3,116 missing): Filled using grade-wise median interest rate. Grade A averages 7.3%, Grade F averages 18.6% — using an overall median would have incorrectly imputed values for extreme grades.</w:t>
      </w:r>
    </w:p>
    <w:p>
      <w:pPr>
        <w:pStyle w:val="ListParagraph"/>
        <w:numPr>
          <w:ilvl w:val="0"/>
          <w:numId w:val="2"/>
        </w:numPr>
        <w:spacing w:after="40" w:before="40"/>
      </w:pPr>
      <w:r>
        <w:rPr>
          <w:rFonts w:ascii="Arial" w:cs="Arial" w:eastAsia="Arial" w:hAnsi="Arial"/>
          <w:color w:val="1F2937"/>
          <w:sz w:val="20"/>
          <w:szCs w:val="20"/>
        </w:rPr>
        <w:t xml:space="preserve">person_emp_length (895 missing): Filled using dataset median (4.0 years). Using 0 was rejected as it would artificially penalise these applicants in the Work-Life Ratio calculation.</w:t>
      </w:r>
    </w:p>
    <w:p>
      <w:pPr>
        <w:spacing w:after="0" w:before="80"/>
      </w:pPr>
    </w:p>
    <w:p>
      <w:pPr>
        <w:pStyle w:val="Heading2"/>
        <w:spacing w:after="100" w:before="200"/>
      </w:pPr>
      <w:r>
        <w:rPr>
          <w:rFonts w:ascii="Arial" w:cs="Arial" w:eastAsia="Arial" w:hAnsi="Arial"/>
          <w:b/>
          <w:bCs/>
          <w:color w:val="1F2937"/>
        </w:rPr>
        <w:t xml:space="preserve">4.3 Tools Used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Tool</w:t>
            </w:r>
          </w:p>
        </w:tc>
        <w:tc>
          <w:tcPr>
            <w:tcW w:type="dxa" w:w="312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Purpose</w:t>
            </w:r>
          </w:p>
        </w:tc>
        <w:tc>
          <w:tcPr>
            <w:tcW w:type="dxa" w:w="3120"/>
            <w:tcBorders>
              <w:top w:val="single" w:color="D1D5DB" w:sz="1"/>
              <w:left w:val="single" w:color="D1D5DB" w:sz="1"/>
              <w:bottom w:val="single" w:color="D1D5DB" w:sz="1"/>
              <w:right w:val="single" w:color="D1D5DB" w:sz="1"/>
            </w:tcBorders>
            <w:shd w:fill="6366F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Key Techniques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SQL (SQLite)</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Data cleaning, exploration, feature engineering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CTEs, Window Functions, UNION ALL audit reports</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Python</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Deep analysis, visualisation, revenue calculation</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Pandas, Matplotlib, Seaborn, group-wise imputation</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Excel</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Financial modelling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Unit Economics, 3-Year Projection, NPA Sensitivity</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Power BI</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Executive dashboard (3 pages)</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val="false"/>
                <w:bCs w:val="false"/>
                <w:color w:val="1F2937"/>
                <w:sz w:val="18"/>
                <w:szCs w:val="18"/>
              </w:rPr>
              <w:t xml:space="preserve">DAX measures, Cross-filtering, Heatmap matrix</w:t>
            </w:r>
          </w:p>
        </w:tc>
      </w:tr>
    </w:tbl>
    <w:p>
      <w:pPr>
        <w:spacing w:after="0" w:before="80"/>
      </w:pPr>
    </w:p>
    <w:p>
      <w:pPr>
        <w:pStyle w:val="Heading1"/>
        <w:spacing w:after="100" w:before="200"/>
      </w:pPr>
      <w:r>
        <w:rPr>
          <w:rFonts w:ascii="Arial" w:cs="Arial" w:eastAsia="Arial" w:hAnsi="Arial"/>
          <w:b/>
          <w:bCs/>
          <w:color w:val="1F2937"/>
        </w:rPr>
        <w:t xml:space="preserve">5. Appendix — Chart Reference</w:t>
      </w:r>
    </w:p>
    <w:p>
      <w:pPr>
        <w:spacing w:after="80" w:before="80"/>
        <w:jc w:val="left"/>
      </w:pPr>
      <w:r>
        <w:rPr>
          <w:rFonts w:ascii="Arial" w:cs="Arial" w:eastAsia="Arial" w:hAnsi="Arial"/>
          <w:b w:val="false"/>
          <w:bCs w:val="false"/>
          <w:i w:val="false"/>
          <w:iCs w:val="false"/>
          <w:color w:val="1F2937"/>
          <w:sz w:val="20"/>
          <w:szCs w:val="20"/>
        </w:rPr>
        <w:t xml:space="preserve">The following charts are available in the accompanying Power BI dashboard and Python notebook. Dashboard is interactive — clicking any data point cross-filters all visuals on the page.</w:t>
      </w:r>
    </w:p>
    <w:p>
      <w:pPr>
        <w:spacing w:after="0" w:before="80"/>
      </w:pPr>
    </w:p>
    <w:p>
      <w:pPr>
        <w:pStyle w:val="ListParagraph"/>
        <w:numPr>
          <w:ilvl w:val="0"/>
          <w:numId w:val="2"/>
        </w:numPr>
        <w:spacing w:after="40" w:before="40"/>
      </w:pPr>
      <w:r>
        <w:rPr>
          <w:rFonts w:ascii="Arial" w:cs="Arial" w:eastAsia="Arial" w:hAnsi="Arial"/>
          <w:color w:val="1F2937"/>
          <w:sz w:val="20"/>
          <w:szCs w:val="20"/>
        </w:rPr>
        <w:t xml:space="preserve">Chart 1: Default Rate by Loan Grade (bar chart, A–G)</w:t>
      </w:r>
    </w:p>
    <w:p>
      <w:pPr>
        <w:pStyle w:val="ListParagraph"/>
        <w:numPr>
          <w:ilvl w:val="0"/>
          <w:numId w:val="2"/>
        </w:numPr>
        <w:spacing w:after="40" w:before="40"/>
      </w:pPr>
      <w:r>
        <w:rPr>
          <w:rFonts w:ascii="Arial" w:cs="Arial" w:eastAsia="Arial" w:hAnsi="Arial"/>
          <w:color w:val="1F2937"/>
          <w:sz w:val="20"/>
          <w:szCs w:val="20"/>
        </w:rPr>
        <w:t xml:space="preserve">Chart 2: Risk Heatmap — Grade x Income Bucket (conditional formatting matrix)</w:t>
      </w:r>
    </w:p>
    <w:p>
      <w:pPr>
        <w:pStyle w:val="ListParagraph"/>
        <w:numPr>
          <w:ilvl w:val="0"/>
          <w:numId w:val="2"/>
        </w:numPr>
        <w:spacing w:after="40" w:before="40"/>
      </w:pPr>
      <w:r>
        <w:rPr>
          <w:rFonts w:ascii="Arial" w:cs="Arial" w:eastAsia="Arial" w:hAnsi="Arial"/>
          <w:color w:val="1F2937"/>
          <w:sz w:val="20"/>
          <w:szCs w:val="20"/>
        </w:rPr>
        <w:t xml:space="preserve">Chart 3: DTI Cliff Effect — Default Rate by Loan-to-Income Ratio Bucket</w:t>
      </w:r>
    </w:p>
    <w:p>
      <w:pPr>
        <w:pStyle w:val="ListParagraph"/>
        <w:numPr>
          <w:ilvl w:val="0"/>
          <w:numId w:val="2"/>
        </w:numPr>
        <w:spacing w:after="40" w:before="40"/>
      </w:pPr>
      <w:r>
        <w:rPr>
          <w:rFonts w:ascii="Arial" w:cs="Arial" w:eastAsia="Arial" w:hAnsi="Arial"/>
          <w:color w:val="1F2937"/>
          <w:sz w:val="20"/>
          <w:szCs w:val="20"/>
        </w:rPr>
        <w:t xml:space="preserve">Chart 4: Default Rate by Home Ownership Status</w:t>
      </w:r>
    </w:p>
    <w:p>
      <w:pPr>
        <w:pStyle w:val="ListParagraph"/>
        <w:numPr>
          <w:ilvl w:val="0"/>
          <w:numId w:val="2"/>
        </w:numPr>
        <w:spacing w:after="40" w:before="40"/>
      </w:pPr>
      <w:r>
        <w:rPr>
          <w:rFonts w:ascii="Arial" w:cs="Arial" w:eastAsia="Arial" w:hAnsi="Arial"/>
          <w:color w:val="1F2937"/>
          <w:sz w:val="20"/>
          <w:szCs w:val="20"/>
        </w:rPr>
        <w:t xml:space="preserve">Chart 5: Revenue Leakage Breakdown (Principal vs Interest)</w:t>
      </w:r>
    </w:p>
    <w:p>
      <w:pPr>
        <w:pStyle w:val="ListParagraph"/>
        <w:numPr>
          <w:ilvl w:val="0"/>
          <w:numId w:val="2"/>
        </w:numPr>
        <w:spacing w:after="40" w:before="40"/>
      </w:pPr>
      <w:r>
        <w:rPr>
          <w:rFonts w:ascii="Arial" w:cs="Arial" w:eastAsia="Arial" w:hAnsi="Arial"/>
          <w:color w:val="1F2937"/>
          <w:sz w:val="20"/>
          <w:szCs w:val="20"/>
        </w:rPr>
        <w:t xml:space="preserve">Chart 6: Home Ownership x DTI Cross-Dimensional Heatmap (with sample size validation)</w:t>
      </w:r>
    </w:p>
    <w:p>
      <w:pPr>
        <w:spacing w:after="0" w:before="80"/>
      </w:pPr>
    </w:p>
    <w:p>
      <w:pPr>
        <w:pBdr>
          <w:bottom w:val="single" w:color="6366F1" w:sz="6" w:space="1"/>
        </w:pBdr>
        <w:spacing w:after="120" w:before="120"/>
      </w:pPr>
    </w:p>
    <w:p>
      <w:pPr>
        <w:spacing w:after="0" w:before="80"/>
      </w:pPr>
    </w:p>
    <w:p>
      <w:pPr>
        <w:spacing w:after="80" w:before="80"/>
        <w:jc w:val="left"/>
      </w:pPr>
      <w:r>
        <w:rPr>
          <w:rFonts w:ascii="Arial" w:cs="Arial" w:eastAsia="Arial" w:hAnsi="Arial"/>
          <w:b w:val="false"/>
          <w:bCs w:val="false"/>
          <w:i/>
          <w:iCs/>
          <w:color w:val="9CA3AF"/>
          <w:sz w:val="20"/>
          <w:szCs w:val="20"/>
        </w:rPr>
        <w:t xml:space="preserve">This report was produced as part of a full end-to-end BI project. All findings are based on the cleaned dataset (32,401 records). Revenue figures are worst-case estimates assuming zero recovery on defaulted loans.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366F1" w:sz="4" w:space="1"/>
      </w:pBdr>
      <w:spacing w:after="0" w:before="120"/>
      <w:jc w:val="center"/>
    </w:pPr>
    <w:r>
      <w:rPr>
        <w:rFonts w:ascii="Arial" w:cs="Arial" w:eastAsia="Arial" w:hAnsi="Arial"/>
        <w:color w:val="9CA3AF"/>
        <w:sz w:val="16"/>
        <w:szCs w:val="16"/>
      </w:rPr>
      <w:t xml:space="preserve">FinEdge Lending Analytics  |  Prepared by: Data Analytics Team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1"/>
      </w:pBdr>
      <w:spacing w:after="120" w:before="0"/>
      <w:jc w:val="right"/>
    </w:pPr>
    <w:r>
      <w:rPr>
        <w:rFonts w:ascii="Arial" w:cs="Arial" w:eastAsia="Arial" w:hAnsi="Arial"/>
        <w:color w:val="9CA3AF"/>
        <w:sz w:val="16"/>
        <w:szCs w:val="16"/>
      </w:rPr>
      <w:t xml:space="preserve">FinEdge Lending  |  Credit Risk &amp; Revenue Leakage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6366F1"/>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2026-06-28T06:19:19.048Z</dcterms:created>
  <dcterms:modified xsi:type="dcterms:W3CDTF">2026-06-28T06:19:19.048Z</dcterms:modified>
</cp:coreProperties>
</file>

<file path=docProps/custom.xml><?xml version="1.0" encoding="utf-8"?>
<Properties xmlns="http://schemas.openxmlformats.org/officeDocument/2006/custom-properties" xmlns:vt="http://schemas.openxmlformats.org/officeDocument/2006/docPropsVTypes"/>
</file>