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sz w:val="32"/>
        </w:rPr>
        <w:t>Orientation Tuning Heterogeneity and Population Decoding</w:t>
        <w:br/>
        <w:t>in Mouse Primary Visual Cortex</w:t>
      </w:r>
    </w:p>
    <w:p>
      <w:pPr>
        <w:spacing w:after="40"/>
        <w:jc w:val="center"/>
      </w:pPr>
      <w:r>
        <w:rPr>
          <w:rFonts w:ascii="Arial" w:hAnsi="Arial"/>
          <w:sz w:val="24"/>
        </w:rPr>
        <w:t>BENG 2800 Final Project Report</w:t>
      </w:r>
    </w:p>
    <w:p>
      <w:pPr>
        <w:spacing w:after="40"/>
        <w:jc w:val="center"/>
      </w:pPr>
      <w:r>
        <w:rPr>
          <w:rFonts w:ascii="Arial" w:hAnsi="Arial"/>
          <w:sz w:val="22"/>
        </w:rPr>
        <w:t>Rohan Aryagondi</w:t>
      </w:r>
    </w:p>
    <w:p>
      <w:pPr>
        <w:spacing w:after="360"/>
        <w:jc w:val="center"/>
      </w:pPr>
      <w:r>
        <w:rPr>
          <w:rFonts w:ascii="Arial" w:hAnsi="Arial"/>
          <w:sz w:val="22"/>
        </w:rPr>
        <w:t>April 2026</w:t>
      </w:r>
    </w:p>
    <w:p>
      <w:pPr>
        <w:pStyle w:val="Heading1"/>
      </w:pPr>
      <w:r>
        <w:rPr>
          <w:rFonts w:ascii="Arial" w:hAnsi="Arial"/>
          <w:color w:val="000000"/>
        </w:rPr>
        <w:t>1. Introduction and Background</w:t>
      </w:r>
    </w:p>
    <w:p>
      <w:pPr>
        <w:spacing w:after="120" w:line="276" w:lineRule="auto"/>
      </w:pPr>
      <w:r>
        <w:rPr>
          <w:rFonts w:ascii="Arial" w:hAnsi="Arial"/>
          <w:b w:val="0"/>
          <w:i w:val="0"/>
          <w:sz w:val="22"/>
        </w:rPr>
        <w:t>Neurons in the primary visual cortex (V1) respond selectively to the orientation of visual stimuli, a property first described by Hubel and Wiesel (1962). This orientation selectivity is a fundamental building block of visual processing. Understanding how orientation is encoded across populations of neurons remains a central question in systems neuroscience.</w:t>
      </w:r>
    </w:p>
    <w:p>
      <w:pPr>
        <w:spacing w:after="120" w:line="276" w:lineRule="auto"/>
      </w:pPr>
      <w:r>
        <w:rPr>
          <w:rFonts w:ascii="Arial" w:hAnsi="Arial"/>
          <w:b w:val="0"/>
          <w:i w:val="0"/>
          <w:sz w:val="22"/>
        </w:rPr>
        <w:t>Recent advances in two-photon calcium imaging allow simultaneous recording from tens of thousands of neurons. Stringer, Michaelos, and Pachitariu (2021) recorded from approximately 23,000 neurons in mouse V1, demonstrating high-precision population coding of orientation. Their dataset provides a unique opportunity to investigate tuning diversity and population-level encoding.</w:t>
      </w:r>
    </w:p>
    <w:p>
      <w:pPr>
        <w:spacing w:after="120" w:line="276" w:lineRule="auto"/>
      </w:pPr>
      <w:r>
        <w:rPr>
          <w:rFonts w:ascii="Arial" w:hAnsi="Arial"/>
          <w:b w:val="0"/>
          <w:i w:val="0"/>
          <w:sz w:val="22"/>
        </w:rPr>
        <w:t>In this project, we address four interrelated questions:</w:t>
      </w:r>
    </w:p>
    <w:p>
      <w:pPr>
        <w:pStyle w:val="ListNumber"/>
      </w:pPr>
      <w:r>
        <w:rPr>
          <w:rFonts w:ascii="Arial" w:hAnsi="Arial"/>
          <w:i/>
          <w:sz w:val="22"/>
        </w:rPr>
        <w:t>How much do preferred orientation and tuning sharpness vary across neurons in this V1 recording?</w:t>
      </w:r>
    </w:p>
    <w:p>
      <w:pPr>
        <w:pStyle w:val="ListNumber"/>
      </w:pPr>
      <w:r>
        <w:rPr>
          <w:rFonts w:ascii="Arial" w:hAnsi="Arial"/>
          <w:i/>
          <w:sz w:val="22"/>
        </w:rPr>
        <w:t>Are neurons with sharper orientation tuning also more reliable across repeated trials?</w:t>
      </w:r>
    </w:p>
    <w:p>
      <w:pPr>
        <w:pStyle w:val="ListNumber"/>
      </w:pPr>
      <w:r>
        <w:rPr>
          <w:rFonts w:ascii="Arial" w:hAnsi="Arial"/>
          <w:i/>
          <w:sz w:val="22"/>
        </w:rPr>
        <w:t>How accurately can a simple linear population decoder predict stimulus orientation?</w:t>
      </w:r>
    </w:p>
    <w:p>
      <w:pPr>
        <w:pStyle w:val="ListNumber"/>
      </w:pPr>
      <w:r>
        <w:rPr>
          <w:rFonts w:ascii="Arial" w:hAnsi="Arial"/>
          <w:i/>
          <w:sz w:val="22"/>
        </w:rPr>
        <w:t>How does decoder performance change as the number of neurons increases?</w:t>
      </w:r>
    </w:p>
    <w:p>
      <w:pPr>
        <w:spacing w:after="120" w:line="276" w:lineRule="auto"/>
      </w:pPr>
      <w:r>
        <w:rPr>
          <w:rFonts w:ascii="Arial" w:hAnsi="Arial"/>
          <w:b w:val="0"/>
          <w:i w:val="0"/>
          <w:sz w:val="22"/>
        </w:rPr>
        <w:t>These questions bridge single-neuron physiology with population computation, using two analytical methods from this course: nonlinear least-squares curve fitting and linear least-squares regression.</w:t>
      </w:r>
    </w:p>
    <w:p>
      <w:pPr>
        <w:pStyle w:val="Heading1"/>
      </w:pPr>
      <w:r>
        <w:rPr>
          <w:rFonts w:ascii="Arial" w:hAnsi="Arial"/>
          <w:color w:val="000000"/>
        </w:rPr>
        <w:t>2. Methodology</w:t>
      </w:r>
    </w:p>
    <w:p>
      <w:pPr>
        <w:pStyle w:val="Heading2"/>
      </w:pPr>
      <w:r>
        <w:rPr>
          <w:rFonts w:ascii="Arial" w:hAnsi="Arial"/>
          <w:color w:val="000000"/>
        </w:rPr>
        <w:t>2.1 Dataset</w:t>
      </w:r>
    </w:p>
    <w:p>
      <w:pPr>
        <w:spacing w:after="120" w:line="276" w:lineRule="auto"/>
      </w:pPr>
      <w:r>
        <w:rPr>
          <w:rFonts w:ascii="Arial" w:hAnsi="Arial"/>
          <w:b w:val="0"/>
          <w:i w:val="0"/>
          <w:sz w:val="22"/>
        </w:rPr>
        <w:t>We analyzed two-photon calcium imaging data from Stringer et al. (2021), consisting of 23,589 simultaneously recorded neurons in V1 of a single head-fixed mouse during passive viewing of 4,598 static oriented gratings (0–180°, approximately uniformly distributed). Neural responses were provided as deconvolved calcium activity (one scalar per neuron per trial) extracted using Suite2p.</w:t>
      </w:r>
    </w:p>
    <w:p>
      <w:pPr>
        <w:pStyle w:val="Heading2"/>
      </w:pPr>
      <w:r>
        <w:rPr>
          <w:rFonts w:ascii="Arial" w:hAnsi="Arial"/>
          <w:color w:val="000000"/>
        </w:rPr>
        <w:t>2.2 Nonlinear Least-Squares Tuning Model</w:t>
      </w:r>
    </w:p>
    <w:p>
      <w:pPr>
        <w:spacing w:after="120" w:line="276" w:lineRule="auto"/>
      </w:pPr>
      <w:r>
        <w:rPr>
          <w:rFonts w:ascii="Arial" w:hAnsi="Arial"/>
          <w:b w:val="0"/>
          <w:i w:val="0"/>
          <w:sz w:val="22"/>
        </w:rPr>
        <w:t>Empirical tuning curves were estimated by binning trials into 36 bins of 5° each (~128 trials/bin). We fit a von Mises orientation tuning function using nonlinear least squares (scipy.optimize.curve_fit):</w:t>
      </w:r>
    </w:p>
    <w:p>
      <w:pPr>
        <w:spacing w:before="120" w:after="120"/>
        <w:jc w:val="center"/>
      </w:pPr>
      <w:r>
        <w:rPr>
          <w:rFonts w:ascii="Arial" w:hAnsi="Arial"/>
          <w:i/>
          <w:sz w:val="22"/>
        </w:rPr>
        <w:t>r(θ) = b + a · exp(κ · cos(2(θ − θ₀)))</w:t>
      </w:r>
    </w:p>
    <w:p>
      <w:pPr>
        <w:spacing w:after="120" w:line="276" w:lineRule="auto"/>
      </w:pPr>
      <w:r>
        <w:rPr>
          <w:rFonts w:ascii="Arial" w:hAnsi="Arial"/>
          <w:b w:val="0"/>
          <w:i w:val="0"/>
          <w:sz w:val="22"/>
        </w:rPr>
        <w:t>where b is baseline, a is amplitude, κ is tuning sharpness (bounded [0, 20]), and θ₀ is preferred orientation. R² was computed on binned means (not single trials); single-trial prediction accuracy would be lower due to trial-to-trial variability.</w:t>
      </w:r>
    </w:p>
    <w:p>
      <w:pPr>
        <w:pStyle w:val="Heading2"/>
      </w:pPr>
      <w:r>
        <w:rPr>
          <w:rFonts w:ascii="Arial" w:hAnsi="Arial"/>
          <w:color w:val="000000"/>
        </w:rPr>
        <w:t>2.3 Reliability Analysis</w:t>
      </w:r>
    </w:p>
    <w:p>
      <w:pPr>
        <w:spacing w:after="120" w:line="276" w:lineRule="auto"/>
      </w:pPr>
      <w:r>
        <w:rPr>
          <w:rFonts w:ascii="Arial" w:hAnsi="Arial"/>
          <w:b w:val="0"/>
          <w:i w:val="0"/>
          <w:sz w:val="22"/>
        </w:rPr>
        <w:t>Split-half reliability was the Pearson correlation between tuning curves from odd- and even-indexed trials. We assessed the kappa–reliability relationship using an OLS linear model (reliability = β₀ + β₁·κ + β₂·mean_response) via np.linalg.lstsq, plus Pearson and Spearman correlations with 95% bootstrap CIs (5,000 resamples). We also ran a simulation to quantify the mathematically expected correlation between κ and reliability.</w:t>
      </w:r>
    </w:p>
    <w:p>
      <w:pPr>
        <w:pStyle w:val="Heading2"/>
      </w:pPr>
      <w:r>
        <w:rPr>
          <w:rFonts w:ascii="Arial" w:hAnsi="Arial"/>
          <w:color w:val="000000"/>
        </w:rPr>
        <w:t>2.4 Linear Population Decoder</w:t>
      </w:r>
    </w:p>
    <w:p>
      <w:pPr>
        <w:spacing w:after="120" w:line="276" w:lineRule="auto"/>
      </w:pPr>
      <w:r>
        <w:rPr>
          <w:rFonts w:ascii="Arial" w:hAnsi="Arial"/>
          <w:b w:val="0"/>
          <w:i w:val="0"/>
          <w:sz w:val="22"/>
        </w:rPr>
        <w:t>An OLS linear decoder regressed the trial-by-neuron response matrix onto target vectors y_cos = cos(2θ) and y_sin = sin(2θ). Orientation was recovered as θ_pred = arctan2(sin_pred, cos_pred)/2. We used 5-fold CV with circular MAE (modulo 180°). Scaling was evaluated at neuron counts of 10–5,000 (10 random subsets each). We present results for both randomly selected neurons from the full population and the top 1,000 most reliable neurons as an upper bound. A shuffle control (permuted labels, 10 repeats) established the chance baseline.</w:t>
      </w:r>
    </w:p>
    <w:p>
      <w:pPr>
        <w:pStyle w:val="Heading1"/>
      </w:pPr>
      <w:r>
        <w:rPr>
          <w:rFonts w:ascii="Arial" w:hAnsi="Arial"/>
          <w:color w:val="000000"/>
        </w:rPr>
        <w:t>3. Results and Analysis</w:t>
      </w:r>
    </w:p>
    <w:p>
      <w:pPr>
        <w:pStyle w:val="Heading2"/>
      </w:pPr>
      <w:r>
        <w:rPr>
          <w:rFonts w:ascii="Arial" w:hAnsi="Arial"/>
          <w:color w:val="000000"/>
        </w:rPr>
        <w:t>3.1 Heterogeneity of Orientation Tuning</w:t>
      </w:r>
    </w:p>
    <w:p>
      <w:pPr>
        <w:spacing w:after="120" w:line="276" w:lineRule="auto"/>
      </w:pPr>
      <w:r>
        <w:rPr>
          <w:rFonts w:ascii="Arial" w:hAnsi="Arial"/>
          <w:b w:val="0"/>
          <w:i w:val="0"/>
          <w:sz w:val="22"/>
        </w:rPr>
        <w:t>The von Mises fitting algorithm converged for all 23,589 neurons; however, 2,218 (9.4%) produced R² &lt; 0.3 and are better characterized as non-orientation-selective rather than “broadly tuned.” Among the remaining neurons, the median R² was 0.750 (IQR: [0.530, 0.893]; note these values reflect fits to trial-averaged tuning curves, not single-trial predictions).</w:t>
      </w:r>
    </w:p>
    <w:p>
      <w:pPr>
        <w:jc w:val="center"/>
      </w:pPr>
      <w:r>
        <w:drawing>
          <wp:inline xmlns:a="http://schemas.openxmlformats.org/drawingml/2006/main" xmlns:pic="http://schemas.openxmlformats.org/drawingml/2006/picture">
            <wp:extent cx="5303520" cy="3101595"/>
            <wp:docPr id="1" name="Picture 1"/>
            <wp:cNvGraphicFramePr>
              <a:graphicFrameLocks noChangeAspect="1"/>
            </wp:cNvGraphicFramePr>
            <a:graphic>
              <a:graphicData uri="http://schemas.openxmlformats.org/drawingml/2006/picture">
                <pic:pic>
                  <pic:nvPicPr>
                    <pic:cNvPr id="0" name="final_fig1_tuning_examples.png"/>
                    <pic:cNvPicPr/>
                  </pic:nvPicPr>
                  <pic:blipFill>
                    <a:blip r:embed="rId9"/>
                    <a:stretch>
                      <a:fillRect/>
                    </a:stretch>
                  </pic:blipFill>
                  <pic:spPr>
                    <a:xfrm>
                      <a:off x="0" y="0"/>
                      <a:ext cx="5303520" cy="3101595"/>
                    </a:xfrm>
                    <a:prstGeom prst="rect"/>
                  </pic:spPr>
                </pic:pic>
              </a:graphicData>
            </a:graphic>
          </wp:inline>
        </w:drawing>
      </w:r>
    </w:p>
    <w:p>
      <w:pPr>
        <w:spacing w:after="240"/>
        <w:jc w:val="center"/>
      </w:pPr>
      <w:r>
        <w:rPr>
          <w:rFonts w:ascii="Arial" w:hAnsi="Arial"/>
          <w:i/>
          <w:sz w:val="18"/>
        </w:rPr>
        <w:t>Figure 1. Example orientation tuning curves with von Mises fits spanning the range of fit quality.</w:t>
      </w:r>
    </w:p>
    <w:p>
      <w:pPr>
        <w:spacing w:after="120" w:line="276" w:lineRule="auto"/>
      </w:pPr>
      <w:r>
        <w:rPr>
          <w:rFonts w:ascii="Arial" w:hAnsi="Arial"/>
          <w:b w:val="0"/>
          <w:i w:val="0"/>
          <w:sz w:val="22"/>
        </w:rPr>
        <w:t>Preferred orientations were approximately uniformly distributed across 0–180° (Figure 2, left). Tuning sharpness (κ) varied substantially (median = 3.83, IQR: [1.31, 8.23]; Figure 2, right). The observed heterogeneity is consistent with the premise that diverse tuning profiles may support population coding (Ganguli and Simoncelli, 2014), though testing optimality would require comparing against theoretical predictions.</w:t>
      </w:r>
    </w:p>
    <w:p>
      <w:pPr>
        <w:jc w:val="center"/>
      </w:pPr>
      <w:r>
        <w:drawing>
          <wp:inline xmlns:a="http://schemas.openxmlformats.org/drawingml/2006/main" xmlns:pic="http://schemas.openxmlformats.org/drawingml/2006/picture">
            <wp:extent cx="5303520" cy="1988820"/>
            <wp:docPr id="2" name="Picture 2"/>
            <wp:cNvGraphicFramePr>
              <a:graphicFrameLocks noChangeAspect="1"/>
            </wp:cNvGraphicFramePr>
            <a:graphic>
              <a:graphicData uri="http://schemas.openxmlformats.org/drawingml/2006/picture">
                <pic:pic>
                  <pic:nvPicPr>
                    <pic:cNvPr id="0" name="final_fig2_tuning_parameter_distributions.png"/>
                    <pic:cNvPicPr/>
                  </pic:nvPicPr>
                  <pic:blipFill>
                    <a:blip r:embed="rId10"/>
                    <a:stretch>
                      <a:fillRect/>
                    </a:stretch>
                  </pic:blipFill>
                  <pic:spPr>
                    <a:xfrm>
                      <a:off x="0" y="0"/>
                      <a:ext cx="5303520" cy="1988820"/>
                    </a:xfrm>
                    <a:prstGeom prst="rect"/>
                  </pic:spPr>
                </pic:pic>
              </a:graphicData>
            </a:graphic>
          </wp:inline>
        </w:drawing>
      </w:r>
    </w:p>
    <w:p>
      <w:pPr>
        <w:spacing w:after="240"/>
        <w:jc w:val="center"/>
      </w:pPr>
      <w:r>
        <w:rPr>
          <w:rFonts w:ascii="Arial" w:hAnsi="Arial"/>
          <w:i/>
          <w:sz w:val="18"/>
        </w:rPr>
        <w:t>Figure 2. Left: preferred orientations are approximately uniform. Right: tuning sharpness is right-skewed (median κ = 3.83).</w:t>
      </w:r>
    </w:p>
    <w:p>
      <w:pPr>
        <w:pStyle w:val="Heading2"/>
      </w:pPr>
      <w:r>
        <w:rPr>
          <w:rFonts w:ascii="Arial" w:hAnsi="Arial"/>
          <w:color w:val="000000"/>
        </w:rPr>
        <w:t>3.2 Tuning Sharpness and Trial-to-Trial Reliability</w:t>
      </w:r>
    </w:p>
    <w:p>
      <w:pPr>
        <w:spacing w:after="120" w:line="276" w:lineRule="auto"/>
      </w:pPr>
      <w:r>
        <w:rPr>
          <w:rFonts w:ascii="Arial" w:hAnsi="Arial"/>
          <w:b w:val="0"/>
          <w:i w:val="0"/>
          <w:sz w:val="22"/>
        </w:rPr>
        <w:t>We found a positive correlation between κ and reliability (Spearman r = 0.239, 95% CI: [0.227, 0.252]). However, a simulation in which noise was entirely independent of κ produced a much stronger correlation (Spearman r = 0.906; Figure 3), indicating that the κ–reliability coupling is largely a mathematical consequence of how both metrics are derived from tuning curve structure. The real data’s weaker correlation (0.239 vs. expected ~0.91) suggests that biological noise sources partially decouple tuning strength from measurement reliability.</w:t>
      </w:r>
    </w:p>
    <w:p>
      <w:pPr>
        <w:spacing w:after="120" w:line="276" w:lineRule="auto"/>
      </w:pPr>
      <w:r>
        <w:rPr>
          <w:rFonts w:ascii="Arial" w:hAnsi="Arial"/>
          <w:b/>
          <w:i w:val="0"/>
          <w:sz w:val="20"/>
        </w:rPr>
        <w:t>Table 1. OLS regression results: reliability ~ κ + mean_response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5E8F0" w:val="clear"/>
          </w:tcPr>
          <w:p>
            <w:pPr>
              <w:jc w:val="center"/>
            </w:pPr>
            <w:r/>
            <w:r>
              <w:rPr>
                <w:rFonts w:ascii="Arial" w:hAnsi="Arial"/>
                <w:b/>
                <w:sz w:val="18"/>
              </w:rPr>
              <w:t>Parameter</w:t>
            </w:r>
          </w:p>
        </w:tc>
        <w:tc>
          <w:tcPr>
            <w:tcW w:type="dxa" w:w="1584"/>
            <w:shd w:fill="D5E8F0" w:val="clear"/>
          </w:tcPr>
          <w:p>
            <w:pPr>
              <w:jc w:val="center"/>
            </w:pPr>
            <w:r/>
            <w:r>
              <w:rPr>
                <w:rFonts w:ascii="Arial" w:hAnsi="Arial"/>
                <w:b/>
                <w:sz w:val="18"/>
              </w:rPr>
              <w:t>Coefficient</w:t>
            </w:r>
          </w:p>
        </w:tc>
        <w:tc>
          <w:tcPr>
            <w:tcW w:type="dxa" w:w="1152"/>
            <w:shd w:fill="D5E8F0" w:val="clear"/>
          </w:tcPr>
          <w:p>
            <w:pPr>
              <w:jc w:val="center"/>
            </w:pPr>
            <w:r/>
            <w:r>
              <w:rPr>
                <w:rFonts w:ascii="Arial" w:hAnsi="Arial"/>
                <w:b/>
                <w:sz w:val="18"/>
              </w:rPr>
              <w:t>SE</w:t>
            </w:r>
          </w:p>
        </w:tc>
        <w:tc>
          <w:tcPr>
            <w:tcW w:type="dxa" w:w="1152"/>
            <w:shd w:fill="D5E8F0" w:val="clear"/>
          </w:tcPr>
          <w:p>
            <w:pPr>
              <w:jc w:val="center"/>
            </w:pPr>
            <w:r/>
            <w:r>
              <w:rPr>
                <w:rFonts w:ascii="Arial" w:hAnsi="Arial"/>
                <w:b/>
                <w:sz w:val="18"/>
              </w:rPr>
              <w:t>t</w:t>
            </w:r>
          </w:p>
        </w:tc>
        <w:tc>
          <w:tcPr>
            <w:tcW w:type="dxa" w:w="1584"/>
            <w:shd w:fill="D5E8F0" w:val="clear"/>
          </w:tcPr>
          <w:p>
            <w:pPr>
              <w:jc w:val="center"/>
            </w:pPr>
            <w:r/>
            <w:r>
              <w:rPr>
                <w:rFonts w:ascii="Arial" w:hAnsi="Arial"/>
                <w:b/>
                <w:sz w:val="18"/>
              </w:rPr>
              <w:t>p-value</w:t>
            </w:r>
          </w:p>
        </w:tc>
      </w:tr>
      <w:tr>
        <w:tc>
          <w:tcPr>
            <w:tcW w:type="dxa" w:w="1872"/>
          </w:tcPr>
          <w:p>
            <w:pPr>
              <w:jc w:val="center"/>
            </w:pPr>
            <w:r/>
            <w:r>
              <w:rPr>
                <w:rFonts w:ascii="Arial" w:hAnsi="Arial"/>
                <w:sz w:val="18"/>
              </w:rPr>
              <w:t>Intercept</w:t>
            </w:r>
          </w:p>
        </w:tc>
        <w:tc>
          <w:tcPr>
            <w:tcW w:type="dxa" w:w="1584"/>
          </w:tcPr>
          <w:p>
            <w:pPr>
              <w:jc w:val="center"/>
            </w:pPr>
            <w:r/>
            <w:r>
              <w:rPr>
                <w:rFonts w:ascii="Arial" w:hAnsi="Arial"/>
                <w:sz w:val="18"/>
              </w:rPr>
              <w:t>0.670</w:t>
            </w:r>
          </w:p>
        </w:tc>
        <w:tc>
          <w:tcPr>
            <w:tcW w:type="dxa" w:w="1152"/>
          </w:tcPr>
          <w:p>
            <w:pPr>
              <w:jc w:val="center"/>
            </w:pPr>
            <w:r/>
            <w:r>
              <w:rPr>
                <w:rFonts w:ascii="Arial" w:hAnsi="Arial"/>
                <w:sz w:val="18"/>
              </w:rPr>
              <w:t>0.0022</w:t>
            </w:r>
          </w:p>
        </w:tc>
        <w:tc>
          <w:tcPr>
            <w:tcW w:type="dxa" w:w="1152"/>
          </w:tcPr>
          <w:p>
            <w:pPr>
              <w:jc w:val="center"/>
            </w:pPr>
            <w:r/>
            <w:r>
              <w:rPr>
                <w:rFonts w:ascii="Arial" w:hAnsi="Arial"/>
                <w:sz w:val="18"/>
              </w:rPr>
              <w:t>307.6</w:t>
            </w:r>
          </w:p>
        </w:tc>
        <w:tc>
          <w:tcPr>
            <w:tcW w:type="dxa" w:w="1584"/>
          </w:tcPr>
          <w:p>
            <w:pPr>
              <w:jc w:val="center"/>
            </w:pPr>
            <w:r/>
            <w:r>
              <w:rPr>
                <w:rFonts w:ascii="Arial" w:hAnsi="Arial"/>
                <w:sz w:val="18"/>
              </w:rPr>
              <w:t>&lt; 10⁻³⁰⁰</w:t>
            </w:r>
          </w:p>
        </w:tc>
      </w:tr>
      <w:tr>
        <w:tc>
          <w:tcPr>
            <w:tcW w:type="dxa" w:w="1872"/>
          </w:tcPr>
          <w:p>
            <w:pPr>
              <w:jc w:val="center"/>
            </w:pPr>
            <w:r/>
            <w:r>
              <w:rPr>
                <w:rFonts w:ascii="Arial" w:hAnsi="Arial"/>
                <w:sz w:val="18"/>
              </w:rPr>
              <w:t>κ</w:t>
            </w:r>
          </w:p>
        </w:tc>
        <w:tc>
          <w:tcPr>
            <w:tcW w:type="dxa" w:w="1584"/>
          </w:tcPr>
          <w:p>
            <w:pPr>
              <w:jc w:val="center"/>
            </w:pPr>
            <w:r/>
            <w:r>
              <w:rPr>
                <w:rFonts w:ascii="Arial" w:hAnsi="Arial"/>
                <w:sz w:val="18"/>
              </w:rPr>
              <w:t>0.0040</w:t>
            </w:r>
          </w:p>
        </w:tc>
        <w:tc>
          <w:tcPr>
            <w:tcW w:type="dxa" w:w="1152"/>
          </w:tcPr>
          <w:p>
            <w:pPr>
              <w:jc w:val="center"/>
            </w:pPr>
            <w:r/>
            <w:r>
              <w:rPr>
                <w:rFonts w:ascii="Arial" w:hAnsi="Arial"/>
                <w:sz w:val="18"/>
              </w:rPr>
              <w:t>0.0002</w:t>
            </w:r>
          </w:p>
        </w:tc>
        <w:tc>
          <w:tcPr>
            <w:tcW w:type="dxa" w:w="1152"/>
          </w:tcPr>
          <w:p>
            <w:pPr>
              <w:jc w:val="center"/>
            </w:pPr>
            <w:r/>
            <w:r>
              <w:rPr>
                <w:rFonts w:ascii="Arial" w:hAnsi="Arial"/>
                <w:sz w:val="18"/>
              </w:rPr>
              <w:t>18.2</w:t>
            </w:r>
          </w:p>
        </w:tc>
        <w:tc>
          <w:tcPr>
            <w:tcW w:type="dxa" w:w="1584"/>
          </w:tcPr>
          <w:p>
            <w:pPr>
              <w:jc w:val="center"/>
            </w:pPr>
            <w:r/>
            <w:r>
              <w:rPr>
                <w:rFonts w:ascii="Arial" w:hAnsi="Arial"/>
                <w:sz w:val="18"/>
              </w:rPr>
              <w:t>&lt; 10⁻⁷⁰</w:t>
            </w:r>
          </w:p>
        </w:tc>
      </w:tr>
      <w:tr>
        <w:tc>
          <w:tcPr>
            <w:tcW w:type="dxa" w:w="1872"/>
          </w:tcPr>
          <w:p>
            <w:pPr>
              <w:jc w:val="center"/>
            </w:pPr>
            <w:r/>
            <w:r>
              <w:rPr>
                <w:rFonts w:ascii="Arial" w:hAnsi="Arial"/>
                <w:sz w:val="18"/>
              </w:rPr>
              <w:t>Mean response</w:t>
            </w:r>
          </w:p>
        </w:tc>
        <w:tc>
          <w:tcPr>
            <w:tcW w:type="dxa" w:w="1584"/>
          </w:tcPr>
          <w:p>
            <w:pPr>
              <w:jc w:val="center"/>
            </w:pPr>
            <w:r/>
            <w:r>
              <w:rPr>
                <w:rFonts w:ascii="Arial" w:hAnsi="Arial"/>
                <w:sz w:val="18"/>
              </w:rPr>
              <w:t>0.0040</w:t>
            </w:r>
          </w:p>
        </w:tc>
        <w:tc>
          <w:tcPr>
            <w:tcW w:type="dxa" w:w="1152"/>
          </w:tcPr>
          <w:p>
            <w:pPr>
              <w:jc w:val="center"/>
            </w:pPr>
            <w:r/>
            <w:r>
              <w:rPr>
                <w:rFonts w:ascii="Arial" w:hAnsi="Arial"/>
                <w:sz w:val="18"/>
              </w:rPr>
              <w:t>0.0001</w:t>
            </w:r>
          </w:p>
        </w:tc>
        <w:tc>
          <w:tcPr>
            <w:tcW w:type="dxa" w:w="1152"/>
          </w:tcPr>
          <w:p>
            <w:pPr>
              <w:jc w:val="center"/>
            </w:pPr>
            <w:r/>
            <w:r>
              <w:rPr>
                <w:rFonts w:ascii="Arial" w:hAnsi="Arial"/>
                <w:sz w:val="18"/>
              </w:rPr>
              <w:t>32.6</w:t>
            </w:r>
          </w:p>
        </w:tc>
        <w:tc>
          <w:tcPr>
            <w:tcW w:type="dxa" w:w="1584"/>
          </w:tcPr>
          <w:p>
            <w:pPr>
              <w:jc w:val="center"/>
            </w:pPr>
            <w:r/>
            <w:r>
              <w:rPr>
                <w:rFonts w:ascii="Arial" w:hAnsi="Arial"/>
                <w:sz w:val="18"/>
              </w:rPr>
              <w:t>&lt; 10⁻²⁰⁰</w:t>
            </w:r>
          </w:p>
        </w:tc>
      </w:tr>
    </w:tbl>
    <w:p>
      <w:pPr>
        <w:spacing w:after="80"/>
      </w:pPr>
    </w:p>
    <w:p>
      <w:pPr>
        <w:spacing w:after="120" w:line="276" w:lineRule="auto"/>
      </w:pPr>
      <w:r>
        <w:rPr>
          <w:rFonts w:ascii="Arial" w:hAnsi="Arial"/>
          <w:b w:val="0"/>
          <w:i w:val="0"/>
          <w:sz w:val="22"/>
        </w:rPr>
        <w:t>The OLS model R² = 0.055, confirming the modest predictive power. Note that reliability is bounded [−1, 1], so OLS standard errors should be interpreted with caution due to potential heteroscedasticity.</w:t>
      </w:r>
    </w:p>
    <w:p>
      <w:pPr>
        <w:jc w:val="center"/>
      </w:pPr>
      <w:r>
        <w:drawing>
          <wp:inline xmlns:a="http://schemas.openxmlformats.org/drawingml/2006/main" xmlns:pic="http://schemas.openxmlformats.org/drawingml/2006/picture">
            <wp:extent cx="5303520" cy="1657350"/>
            <wp:docPr id="3" name="Picture 3"/>
            <wp:cNvGraphicFramePr>
              <a:graphicFrameLocks noChangeAspect="1"/>
            </wp:cNvGraphicFramePr>
            <a:graphic>
              <a:graphicData uri="http://schemas.openxmlformats.org/drawingml/2006/picture">
                <pic:pic>
                  <pic:nvPicPr>
                    <pic:cNvPr id="0" name="issue2_simulation_vs_real.png"/>
                    <pic:cNvPicPr/>
                  </pic:nvPicPr>
                  <pic:blipFill>
                    <a:blip r:embed="rId11"/>
                    <a:stretch>
                      <a:fillRect/>
                    </a:stretch>
                  </pic:blipFill>
                  <pic:spPr>
                    <a:xfrm>
                      <a:off x="0" y="0"/>
                      <a:ext cx="5303520" cy="1657350"/>
                    </a:xfrm>
                    <a:prstGeom prst="rect"/>
                  </pic:spPr>
                </pic:pic>
              </a:graphicData>
            </a:graphic>
          </wp:inline>
        </w:drawing>
      </w:r>
    </w:p>
    <w:p>
      <w:pPr>
        <w:spacing w:after="240"/>
        <w:jc w:val="center"/>
      </w:pPr>
      <w:r>
        <w:rPr>
          <w:rFonts w:ascii="Arial" w:hAnsi="Arial"/>
          <w:i/>
          <w:sz w:val="18"/>
        </w:rPr>
        <w:t>Figure 3. Left: simulation with noise independent of κ (r = 0.906). Center: real data (r = 0.239). Right: binned comparison—the real data shows a much weaker κ–reliability coupling than expected from signal structure alone.</w:t>
      </w:r>
    </w:p>
    <w:p>
      <w:pPr>
        <w:pStyle w:val="Heading2"/>
      </w:pPr>
      <w:r>
        <w:rPr>
          <w:rFonts w:ascii="Arial" w:hAnsi="Arial"/>
          <w:color w:val="000000"/>
        </w:rPr>
        <w:t>3.3 Population Decoder Performance</w:t>
      </w:r>
    </w:p>
    <w:p>
      <w:pPr>
        <w:spacing w:after="120" w:line="276" w:lineRule="auto"/>
      </w:pPr>
      <w:r>
        <w:rPr>
          <w:rFonts w:ascii="Arial" w:hAnsi="Arial"/>
          <w:b w:val="0"/>
          <w:i w:val="0"/>
          <w:sz w:val="22"/>
        </w:rPr>
        <w:t>With 1,000 randomly selected neurons from the full population, the OLS decoder achieved MAE = 4.94°, far below chance (~45°). Pre-selecting the 1,000 most reliable neurons improved this to 2.80°, a 76% improvement that highlights how neuron quality affects decoding (Table 2, Figure 4).</w:t>
      </w:r>
    </w:p>
    <w:p>
      <w:pPr>
        <w:spacing w:after="120" w:line="276" w:lineRule="auto"/>
      </w:pPr>
      <w:r>
        <w:rPr>
          <w:rFonts w:ascii="Arial" w:hAnsi="Arial"/>
          <w:b/>
          <w:i w:val="0"/>
          <w:sz w:val="20"/>
        </w:rPr>
        <w:t>Table 2. Decoder performance: random vs. pre-selected neurons.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D5E8F0" w:val="clear"/>
          </w:tcPr>
          <w:p>
            <w:pPr>
              <w:jc w:val="center"/>
            </w:pPr>
            <w:r/>
            <w:r>
              <w:rPr>
                <w:rFonts w:ascii="Arial" w:hAnsi="Arial"/>
                <w:b/>
                <w:sz w:val="18"/>
              </w:rPr>
              <w:t>Neurons</w:t>
            </w:r>
          </w:p>
        </w:tc>
        <w:tc>
          <w:tcPr>
            <w:tcW w:type="dxa" w:w="3600"/>
            <w:shd w:fill="D5E8F0" w:val="clear"/>
          </w:tcPr>
          <w:p>
            <w:pPr>
              <w:jc w:val="center"/>
            </w:pPr>
            <w:r/>
            <w:r>
              <w:rPr>
                <w:rFonts w:ascii="Arial" w:hAnsi="Arial"/>
                <w:b/>
                <w:sz w:val="18"/>
              </w:rPr>
              <w:t>Random MAE (deg)</w:t>
            </w:r>
          </w:p>
        </w:tc>
        <w:tc>
          <w:tcPr>
            <w:tcW w:type="dxa" w:w="3600"/>
            <w:shd w:fill="D5E8F0" w:val="clear"/>
          </w:tcPr>
          <w:p>
            <w:pPr>
              <w:jc w:val="center"/>
            </w:pPr>
            <w:r/>
            <w:r>
              <w:rPr>
                <w:rFonts w:ascii="Arial" w:hAnsi="Arial"/>
                <w:b/>
                <w:sz w:val="18"/>
              </w:rPr>
              <w:t>Top-1000 MAE (deg)</w:t>
            </w:r>
          </w:p>
        </w:tc>
      </w:tr>
      <w:tr>
        <w:tc>
          <w:tcPr>
            <w:tcW w:type="dxa" w:w="1440"/>
          </w:tcPr>
          <w:p>
            <w:pPr>
              <w:jc w:val="center"/>
            </w:pPr>
            <w:r/>
            <w:r>
              <w:rPr>
                <w:rFonts w:ascii="Arial" w:hAnsi="Arial"/>
                <w:sz w:val="18"/>
              </w:rPr>
              <w:t>10</w:t>
            </w:r>
          </w:p>
        </w:tc>
        <w:tc>
          <w:tcPr>
            <w:tcW w:type="dxa" w:w="3600"/>
          </w:tcPr>
          <w:p>
            <w:pPr>
              <w:jc w:val="center"/>
            </w:pPr>
            <w:r/>
            <w:r>
              <w:rPr>
                <w:rFonts w:ascii="Arial" w:hAnsi="Arial"/>
                <w:sz w:val="18"/>
              </w:rPr>
              <w:t>31.00 ± 3.59</w:t>
            </w:r>
          </w:p>
        </w:tc>
        <w:tc>
          <w:tcPr>
            <w:tcW w:type="dxa" w:w="3600"/>
          </w:tcPr>
          <w:p>
            <w:pPr>
              <w:jc w:val="center"/>
            </w:pPr>
            <w:r/>
            <w:r>
              <w:rPr>
                <w:rFonts w:ascii="Arial" w:hAnsi="Arial"/>
                <w:sz w:val="18"/>
              </w:rPr>
              <w:t>19.96 ± 4.30</w:t>
            </w:r>
          </w:p>
        </w:tc>
      </w:tr>
      <w:tr>
        <w:tc>
          <w:tcPr>
            <w:tcW w:type="dxa" w:w="1440"/>
          </w:tcPr>
          <w:p>
            <w:pPr>
              <w:jc w:val="center"/>
            </w:pPr>
            <w:r/>
            <w:r>
              <w:rPr>
                <w:rFonts w:ascii="Arial" w:hAnsi="Arial"/>
                <w:sz w:val="18"/>
              </w:rPr>
              <w:t>25</w:t>
            </w:r>
          </w:p>
        </w:tc>
        <w:tc>
          <w:tcPr>
            <w:tcW w:type="dxa" w:w="3600"/>
          </w:tcPr>
          <w:p>
            <w:pPr>
              <w:jc w:val="center"/>
            </w:pPr>
            <w:r/>
            <w:r>
              <w:rPr>
                <w:rFonts w:ascii="Arial" w:hAnsi="Arial"/>
                <w:sz w:val="18"/>
              </w:rPr>
              <w:t>21.60 ± 1.61</w:t>
            </w:r>
          </w:p>
        </w:tc>
        <w:tc>
          <w:tcPr>
            <w:tcW w:type="dxa" w:w="3600"/>
          </w:tcPr>
          <w:p>
            <w:pPr>
              <w:jc w:val="center"/>
            </w:pPr>
            <w:r/>
            <w:r>
              <w:rPr>
                <w:rFonts w:ascii="Arial" w:hAnsi="Arial"/>
                <w:sz w:val="18"/>
              </w:rPr>
              <w:t>10.27 ± 1.53</w:t>
            </w:r>
          </w:p>
        </w:tc>
      </w:tr>
      <w:tr>
        <w:tc>
          <w:tcPr>
            <w:tcW w:type="dxa" w:w="1440"/>
          </w:tcPr>
          <w:p>
            <w:pPr>
              <w:jc w:val="center"/>
            </w:pPr>
            <w:r/>
            <w:r>
              <w:rPr>
                <w:rFonts w:ascii="Arial" w:hAnsi="Arial"/>
                <w:sz w:val="18"/>
              </w:rPr>
              <w:t>50</w:t>
            </w:r>
          </w:p>
        </w:tc>
        <w:tc>
          <w:tcPr>
            <w:tcW w:type="dxa" w:w="3600"/>
          </w:tcPr>
          <w:p>
            <w:pPr>
              <w:jc w:val="center"/>
            </w:pPr>
            <w:r/>
            <w:r>
              <w:rPr>
                <w:rFonts w:ascii="Arial" w:hAnsi="Arial"/>
                <w:sz w:val="18"/>
              </w:rPr>
              <w:t>16.42 ± 2.11</w:t>
            </w:r>
          </w:p>
        </w:tc>
        <w:tc>
          <w:tcPr>
            <w:tcW w:type="dxa" w:w="3600"/>
          </w:tcPr>
          <w:p>
            <w:pPr>
              <w:jc w:val="center"/>
            </w:pPr>
            <w:r/>
            <w:r>
              <w:rPr>
                <w:rFonts w:ascii="Arial" w:hAnsi="Arial"/>
                <w:sz w:val="18"/>
              </w:rPr>
              <w:t>6.33 ± 0.66</w:t>
            </w:r>
          </w:p>
        </w:tc>
      </w:tr>
      <w:tr>
        <w:tc>
          <w:tcPr>
            <w:tcW w:type="dxa" w:w="1440"/>
          </w:tcPr>
          <w:p>
            <w:pPr>
              <w:jc w:val="center"/>
            </w:pPr>
            <w:r/>
            <w:r>
              <w:rPr>
                <w:rFonts w:ascii="Arial" w:hAnsi="Arial"/>
                <w:sz w:val="18"/>
              </w:rPr>
              <w:t>100</w:t>
            </w:r>
          </w:p>
        </w:tc>
        <w:tc>
          <w:tcPr>
            <w:tcW w:type="dxa" w:w="3600"/>
          </w:tcPr>
          <w:p>
            <w:pPr>
              <w:jc w:val="center"/>
            </w:pPr>
            <w:r/>
            <w:r>
              <w:rPr>
                <w:rFonts w:ascii="Arial" w:hAnsi="Arial"/>
                <w:sz w:val="18"/>
              </w:rPr>
              <w:t>10.60 ± 0.99</w:t>
            </w:r>
          </w:p>
        </w:tc>
        <w:tc>
          <w:tcPr>
            <w:tcW w:type="dxa" w:w="3600"/>
          </w:tcPr>
          <w:p>
            <w:pPr>
              <w:jc w:val="center"/>
            </w:pPr>
            <w:r/>
            <w:r>
              <w:rPr>
                <w:rFonts w:ascii="Arial" w:hAnsi="Arial"/>
                <w:sz w:val="18"/>
              </w:rPr>
              <w:t>4.48 ± 0.24</w:t>
            </w:r>
          </w:p>
        </w:tc>
      </w:tr>
      <w:tr>
        <w:tc>
          <w:tcPr>
            <w:tcW w:type="dxa" w:w="1440"/>
          </w:tcPr>
          <w:p>
            <w:pPr>
              <w:jc w:val="center"/>
            </w:pPr>
            <w:r/>
            <w:r>
              <w:rPr>
                <w:rFonts w:ascii="Arial" w:hAnsi="Arial"/>
                <w:sz w:val="18"/>
              </w:rPr>
              <w:t>250</w:t>
            </w:r>
          </w:p>
        </w:tc>
        <w:tc>
          <w:tcPr>
            <w:tcW w:type="dxa" w:w="3600"/>
          </w:tcPr>
          <w:p>
            <w:pPr>
              <w:jc w:val="center"/>
            </w:pPr>
            <w:r/>
            <w:r>
              <w:rPr>
                <w:rFonts w:ascii="Arial" w:hAnsi="Arial"/>
                <w:sz w:val="18"/>
              </w:rPr>
              <w:t>6.45 ± 0.44</w:t>
            </w:r>
          </w:p>
        </w:tc>
        <w:tc>
          <w:tcPr>
            <w:tcW w:type="dxa" w:w="3600"/>
          </w:tcPr>
          <w:p>
            <w:pPr>
              <w:jc w:val="center"/>
            </w:pPr>
            <w:r/>
            <w:r>
              <w:rPr>
                <w:rFonts w:ascii="Arial" w:hAnsi="Arial"/>
                <w:sz w:val="18"/>
              </w:rPr>
              <w:t>3.44 ± 0.10</w:t>
            </w:r>
          </w:p>
        </w:tc>
      </w:tr>
      <w:tr>
        <w:tc>
          <w:tcPr>
            <w:tcW w:type="dxa" w:w="1440"/>
          </w:tcPr>
          <w:p>
            <w:pPr>
              <w:jc w:val="center"/>
            </w:pPr>
            <w:r/>
            <w:r>
              <w:rPr>
                <w:rFonts w:ascii="Arial" w:hAnsi="Arial"/>
                <w:sz w:val="18"/>
              </w:rPr>
              <w:t>500</w:t>
            </w:r>
          </w:p>
        </w:tc>
        <w:tc>
          <w:tcPr>
            <w:tcW w:type="dxa" w:w="3600"/>
          </w:tcPr>
          <w:p>
            <w:pPr>
              <w:jc w:val="center"/>
            </w:pPr>
            <w:r/>
            <w:r>
              <w:rPr>
                <w:rFonts w:ascii="Arial" w:hAnsi="Arial"/>
                <w:sz w:val="18"/>
              </w:rPr>
              <w:t>5.40 ± 0.32</w:t>
            </w:r>
          </w:p>
        </w:tc>
        <w:tc>
          <w:tcPr>
            <w:tcW w:type="dxa" w:w="3600"/>
          </w:tcPr>
          <w:p>
            <w:pPr>
              <w:jc w:val="center"/>
            </w:pPr>
            <w:r/>
            <w:r>
              <w:rPr>
                <w:rFonts w:ascii="Arial" w:hAnsi="Arial"/>
                <w:sz w:val="18"/>
              </w:rPr>
              <w:t>2.98 ± 0.09</w:t>
            </w:r>
          </w:p>
        </w:tc>
      </w:tr>
      <w:tr>
        <w:tc>
          <w:tcPr>
            <w:tcW w:type="dxa" w:w="1440"/>
          </w:tcPr>
          <w:p>
            <w:pPr>
              <w:jc w:val="center"/>
            </w:pPr>
            <w:r/>
            <w:r>
              <w:rPr>
                <w:rFonts w:ascii="Arial" w:hAnsi="Arial"/>
                <w:sz w:val="18"/>
              </w:rPr>
              <w:t>1000</w:t>
            </w:r>
          </w:p>
        </w:tc>
        <w:tc>
          <w:tcPr>
            <w:tcW w:type="dxa" w:w="3600"/>
          </w:tcPr>
          <w:p>
            <w:pPr>
              <w:jc w:val="center"/>
            </w:pPr>
            <w:r/>
            <w:r>
              <w:rPr>
                <w:rFonts w:ascii="Arial" w:hAnsi="Arial"/>
                <w:sz w:val="18"/>
              </w:rPr>
              <w:t>4.94 ± 0.15</w:t>
            </w:r>
          </w:p>
        </w:tc>
        <w:tc>
          <w:tcPr>
            <w:tcW w:type="dxa" w:w="3600"/>
          </w:tcPr>
          <w:p>
            <w:pPr>
              <w:jc w:val="center"/>
            </w:pPr>
            <w:r/>
            <w:r>
              <w:rPr>
                <w:rFonts w:ascii="Arial" w:hAnsi="Arial"/>
                <w:sz w:val="18"/>
              </w:rPr>
              <w:t>2.80</w:t>
            </w:r>
          </w:p>
        </w:tc>
      </w:tr>
      <w:tr>
        <w:tc>
          <w:tcPr>
            <w:tcW w:type="dxa" w:w="1440"/>
          </w:tcPr>
          <w:p>
            <w:pPr>
              <w:jc w:val="center"/>
            </w:pPr>
            <w:r/>
            <w:r>
              <w:rPr>
                <w:rFonts w:ascii="Arial" w:hAnsi="Arial"/>
                <w:sz w:val="18"/>
              </w:rPr>
              <w:t>2000</w:t>
            </w:r>
          </w:p>
        </w:tc>
        <w:tc>
          <w:tcPr>
            <w:tcW w:type="dxa" w:w="3600"/>
          </w:tcPr>
          <w:p>
            <w:pPr>
              <w:jc w:val="center"/>
            </w:pPr>
            <w:r/>
            <w:r>
              <w:rPr>
                <w:rFonts w:ascii="Arial" w:hAnsi="Arial"/>
                <w:sz w:val="18"/>
              </w:rPr>
              <w:t>5.53 ± 0.16</w:t>
            </w:r>
          </w:p>
        </w:tc>
        <w:tc>
          <w:tcPr>
            <w:tcW w:type="dxa" w:w="3600"/>
          </w:tcPr>
          <w:p>
            <w:pPr>
              <w:jc w:val="center"/>
            </w:pPr>
            <w:r/>
            <w:r>
              <w:rPr>
                <w:rFonts w:ascii="Arial" w:hAnsi="Arial"/>
                <w:sz w:val="18"/>
              </w:rPr>
              <w:t>—</w:t>
            </w:r>
          </w:p>
        </w:tc>
      </w:tr>
      <w:tr>
        <w:tc>
          <w:tcPr>
            <w:tcW w:type="dxa" w:w="1440"/>
          </w:tcPr>
          <w:p>
            <w:pPr>
              <w:jc w:val="center"/>
            </w:pPr>
            <w:r/>
            <w:r>
              <w:rPr>
                <w:rFonts w:ascii="Arial" w:hAnsi="Arial"/>
                <w:sz w:val="18"/>
              </w:rPr>
              <w:t>5000</w:t>
            </w:r>
          </w:p>
        </w:tc>
        <w:tc>
          <w:tcPr>
            <w:tcW w:type="dxa" w:w="3600"/>
          </w:tcPr>
          <w:p>
            <w:pPr>
              <w:jc w:val="center"/>
            </w:pPr>
            <w:r/>
            <w:r>
              <w:rPr>
                <w:rFonts w:ascii="Arial" w:hAnsi="Arial"/>
                <w:sz w:val="18"/>
              </w:rPr>
              <w:t>7.71 ± 0.14</w:t>
            </w:r>
          </w:p>
        </w:tc>
        <w:tc>
          <w:tcPr>
            <w:tcW w:type="dxa" w:w="3600"/>
          </w:tcPr>
          <w:p>
            <w:pPr>
              <w:jc w:val="center"/>
            </w:pPr>
            <w:r/>
            <w:r>
              <w:rPr>
                <w:rFonts w:ascii="Arial" w:hAnsi="Arial"/>
                <w:sz w:val="18"/>
              </w:rPr>
              <w:t>—</w:t>
            </w:r>
          </w:p>
        </w:tc>
      </w:tr>
    </w:tbl>
    <w:p>
      <w:pPr>
        <w:spacing w:after="80"/>
      </w:pPr>
    </w:p>
    <w:p>
      <w:pPr>
        <w:spacing w:after="120" w:line="276" w:lineRule="auto"/>
      </w:pPr>
      <w:r>
        <w:rPr>
          <w:rFonts w:ascii="Arial" w:hAnsi="Arial"/>
          <w:b w:val="0"/>
          <w:i w:val="0"/>
          <w:sz w:val="22"/>
        </w:rPr>
        <w:t>Performance improved monotonically with neuron count (Figure 4). With random neurons, gains continued steeply up to 2,000–5,000 neurons, while the pre-selected pool showed earlier saturation. The gap between the two curves quantifies the benefit of neuron selection.</w:t>
      </w:r>
    </w:p>
    <w:p>
      <w:pPr>
        <w:jc w:val="center"/>
      </w:pPr>
      <w:r>
        <w:drawing>
          <wp:inline xmlns:a="http://schemas.openxmlformats.org/drawingml/2006/main" xmlns:pic="http://schemas.openxmlformats.org/drawingml/2006/picture">
            <wp:extent cx="4572000" cy="2857500"/>
            <wp:docPr id="4" name="Picture 4"/>
            <wp:cNvGraphicFramePr>
              <a:graphicFrameLocks noChangeAspect="1"/>
            </wp:cNvGraphicFramePr>
            <a:graphic>
              <a:graphicData uri="http://schemas.openxmlformats.org/drawingml/2006/picture">
                <pic:pic>
                  <pic:nvPicPr>
                    <pic:cNvPr id="0" name="final_fig4_decoder_scaling.png"/>
                    <pic:cNvPicPr/>
                  </pic:nvPicPr>
                  <pic:blipFill>
                    <a:blip r:embed="rId12"/>
                    <a:stretch>
                      <a:fillRect/>
                    </a:stretch>
                  </pic:blipFill>
                  <pic:spPr>
                    <a:xfrm>
                      <a:off x="0" y="0"/>
                      <a:ext cx="4572000" cy="2857500"/>
                    </a:xfrm>
                    <a:prstGeom prst="rect"/>
                  </pic:spPr>
                </pic:pic>
              </a:graphicData>
            </a:graphic>
          </wp:inline>
        </w:drawing>
      </w:r>
    </w:p>
    <w:p>
      <w:pPr>
        <w:spacing w:after="240"/>
        <w:jc w:val="center"/>
      </w:pPr>
      <w:r>
        <w:rPr>
          <w:rFonts w:ascii="Arial" w:hAnsi="Arial"/>
          <w:i/>
          <w:sz w:val="18"/>
        </w:rPr>
        <w:t>Figure 4. Decoder MAE vs. neuron count. Blue: random neurons from full population. Orange dashed: top-1000 most reliable neurons. Both far exceed chance (45°).</w:t>
      </w:r>
    </w:p>
    <w:p>
      <w:pPr>
        <w:jc w:val="center"/>
      </w:pPr>
      <w:r>
        <w:drawing>
          <wp:inline xmlns:a="http://schemas.openxmlformats.org/drawingml/2006/main" xmlns:pic="http://schemas.openxmlformats.org/drawingml/2006/picture">
            <wp:extent cx="3474720" cy="3474720"/>
            <wp:docPr id="5" name="Picture 5"/>
            <wp:cNvGraphicFramePr>
              <a:graphicFrameLocks noChangeAspect="1"/>
            </wp:cNvGraphicFramePr>
            <a:graphic>
              <a:graphicData uri="http://schemas.openxmlformats.org/drawingml/2006/picture">
                <pic:pic>
                  <pic:nvPicPr>
                    <pic:cNvPr id="0" name="final_fig5_decoder_examples.png"/>
                    <pic:cNvPicPr/>
                  </pic:nvPicPr>
                  <pic:blipFill>
                    <a:blip r:embed="rId13"/>
                    <a:stretch>
                      <a:fillRect/>
                    </a:stretch>
                  </pic:blipFill>
                  <pic:spPr>
                    <a:xfrm>
                      <a:off x="0" y="0"/>
                      <a:ext cx="3474720" cy="3474720"/>
                    </a:xfrm>
                    <a:prstGeom prst="rect"/>
                  </pic:spPr>
                </pic:pic>
              </a:graphicData>
            </a:graphic>
          </wp:inline>
        </w:drawing>
      </w:r>
    </w:p>
    <w:p>
      <w:pPr>
        <w:spacing w:after="240"/>
        <w:jc w:val="center"/>
      </w:pPr>
      <w:r>
        <w:rPr>
          <w:rFonts w:ascii="Arial" w:hAnsi="Arial"/>
          <w:i/>
          <w:sz w:val="18"/>
        </w:rPr>
        <w:t>Figure 5. Predicted vs. true orientation (top-1000 decoder, MAE = 2.8°).</w:t>
      </w:r>
    </w:p>
    <w:p>
      <w:pPr>
        <w:pStyle w:val="Heading1"/>
      </w:pPr>
      <w:r>
        <w:rPr>
          <w:rFonts w:ascii="Arial" w:hAnsi="Arial"/>
          <w:color w:val="000000"/>
        </w:rPr>
        <w:t>4. Discussion and Conclusion</w:t>
      </w:r>
    </w:p>
    <w:p>
      <w:pPr>
        <w:pStyle w:val="Heading2"/>
      </w:pPr>
      <w:r>
        <w:rPr>
          <w:rFonts w:ascii="Arial" w:hAnsi="Arial"/>
          <w:color w:val="000000"/>
        </w:rPr>
        <w:t>4.1 Summary of Findings</w:t>
      </w:r>
    </w:p>
    <w:p>
      <w:pPr>
        <w:spacing w:after="120" w:line="276" w:lineRule="auto"/>
      </w:pPr>
      <w:r>
        <w:rPr>
          <w:rFonts w:ascii="Arial" w:hAnsi="Arial"/>
          <w:b w:val="0"/>
          <w:i w:val="0"/>
          <w:sz w:val="22"/>
        </w:rPr>
        <w:t>This analysis of 23,589 simultaneously recorded neurons in this V1 recording revealed substantial heterogeneity in orientation tuning: preferred orientations tile the full 0–180° range uniformly, while tuning sharpness spans over an order of magnitude.</w:t>
      </w:r>
    </w:p>
    <w:p>
      <w:pPr>
        <w:spacing w:after="120" w:line="276" w:lineRule="auto"/>
      </w:pPr>
      <w:r>
        <w:rPr>
          <w:rFonts w:ascii="Arial" w:hAnsi="Arial"/>
          <w:b w:val="0"/>
          <w:i w:val="0"/>
          <w:sz w:val="22"/>
        </w:rPr>
        <w:t>The positive κ–reliability correlation (Spearman r = 0.239) is substantially weaker than the r ≈ 0.91 expected from signal structure alone (simulation), suggesting that biological noise sources partially decouple tuning strength from reliability. This reframes the finding: the correlation is not evidence of a novel biological relationship, but its attenuation from the expected value points to interesting noise properties in the population.</w:t>
      </w:r>
    </w:p>
    <w:p>
      <w:pPr>
        <w:spacing w:after="120" w:line="276" w:lineRule="auto"/>
      </w:pPr>
      <w:r>
        <w:rPr>
          <w:rFonts w:ascii="Arial" w:hAnsi="Arial"/>
          <w:b w:val="0"/>
          <w:i w:val="0"/>
          <w:sz w:val="22"/>
        </w:rPr>
        <w:t>The linear decoder achieves 4.9° MAE with 1,000 random neurons (improving to 2.8° with pre-selected reliable neurons). The 76% gap between random and pre-selected neurons demonstrates that neuron quality matters for decoding, even within a simple linear framework.</w:t>
      </w:r>
    </w:p>
    <w:p>
      <w:pPr>
        <w:pStyle w:val="Heading2"/>
      </w:pPr>
      <w:r>
        <w:rPr>
          <w:rFonts w:ascii="Arial" w:hAnsi="Arial"/>
          <w:color w:val="000000"/>
        </w:rPr>
        <w:t>4.2 Limitations</w:t>
      </w:r>
    </w:p>
    <w:p>
      <w:pPr>
        <w:pStyle w:val="ListBullet"/>
      </w:pPr>
      <w:r>
        <w:rPr>
          <w:rFonts w:ascii="Arial" w:hAnsi="Arial"/>
          <w:sz w:val="22"/>
        </w:rPr>
        <w:t>Single recording from one mouse; replication across animals is needed.</w:t>
      </w:r>
    </w:p>
    <w:p>
      <w:pPr>
        <w:pStyle w:val="ListBullet"/>
      </w:pPr>
      <w:r>
        <w:rPr>
          <w:rFonts w:ascii="Arial" w:hAnsi="Arial"/>
          <w:sz w:val="22"/>
        </w:rPr>
        <w:t>~9.4% of neurons are non-orientation-selective despite converging fits (R² &lt; 0.3).</w:t>
      </w:r>
    </w:p>
    <w:p>
      <w:pPr>
        <w:pStyle w:val="ListBullet"/>
      </w:pPr>
      <w:r>
        <w:rPr>
          <w:rFonts w:ascii="Arial" w:hAnsi="Arial"/>
          <w:sz w:val="22"/>
        </w:rPr>
        <w:t>R² values reflect binned means, not single-trial prediction accuracy.</w:t>
      </w:r>
    </w:p>
    <w:p>
      <w:pPr>
        <w:pStyle w:val="ListBullet"/>
      </w:pPr>
      <w:r>
        <w:rPr>
          <w:rFonts w:ascii="Arial" w:hAnsi="Arial"/>
          <w:sz w:val="22"/>
        </w:rPr>
        <w:t>The κ–reliability correlation is largely a mathematical consequence of shared tuning curve structure, not purely biological.</w:t>
      </w:r>
    </w:p>
    <w:p>
      <w:pPr>
        <w:pStyle w:val="ListBullet"/>
      </w:pPr>
      <w:r>
        <w:rPr>
          <w:rFonts w:ascii="Arial" w:hAnsi="Arial"/>
          <w:sz w:val="22"/>
        </w:rPr>
        <w:t>Reliability is bounded [−1, 1], violating OLS homoscedasticity assumptions.</w:t>
      </w:r>
    </w:p>
    <w:p>
      <w:pPr>
        <w:pStyle w:val="ListBullet"/>
      </w:pPr>
      <w:r>
        <w:rPr>
          <w:rFonts w:ascii="Arial" w:hAnsi="Arial"/>
          <w:sz w:val="22"/>
        </w:rPr>
        <w:t>Deconvolved calcium activity is an indirect measure of spiking.</w:t>
      </w:r>
    </w:p>
    <w:p>
      <w:pPr>
        <w:pStyle w:val="Heading2"/>
      </w:pPr>
      <w:r>
        <w:rPr>
          <w:rFonts w:ascii="Arial" w:hAnsi="Arial"/>
          <w:color w:val="000000"/>
        </w:rPr>
        <w:t>4.3 Conclusion</w:t>
      </w:r>
    </w:p>
    <w:p>
      <w:pPr>
        <w:spacing w:after="120" w:line="276" w:lineRule="auto"/>
      </w:pPr>
      <w:r>
        <w:rPr>
          <w:rFonts w:ascii="Arial" w:hAnsi="Arial"/>
          <w:b w:val="0"/>
          <w:i w:val="0"/>
          <w:sz w:val="22"/>
        </w:rPr>
        <w:t>This project demonstrates that V1 neurons in this recording exhibit diverse orientation tuning whose collective activity supports high-precision decoding. Nonlinear least-squares fitting characterized individual tuning curves, while linear regression decoded population activity. The combination reveals both the building blocks of orientation coding and how they combine for population-level readout.</w:t>
      </w:r>
    </w:p>
    <w:p>
      <w:pPr>
        <w:pStyle w:val="Heading1"/>
      </w:pPr>
      <w:r>
        <w:rPr>
          <w:rFonts w:ascii="Arial" w:hAnsi="Arial"/>
          <w:color w:val="000000"/>
        </w:rPr>
        <w:t>5. Individual Reflection</w:t>
      </w:r>
    </w:p>
    <w:p>
      <w:pPr>
        <w:spacing w:after="120" w:line="276" w:lineRule="auto"/>
      </w:pPr>
      <w:r>
        <w:rPr>
          <w:rFonts w:ascii="Arial" w:hAnsi="Arial"/>
          <w:b w:val="0"/>
          <w:i w:val="0"/>
          <w:sz w:val="22"/>
        </w:rPr>
        <w:t>[To be completed individually.]</w:t>
      </w:r>
    </w:p>
    <w:p>
      <w:pPr>
        <w:pStyle w:val="Heading1"/>
      </w:pPr>
      <w:r>
        <w:rPr>
          <w:rFonts w:ascii="Arial" w:hAnsi="Arial"/>
          <w:color w:val="000000"/>
        </w:rPr>
        <w:t>References</w:t>
      </w:r>
    </w:p>
    <w:p>
      <w:pPr>
        <w:spacing w:after="80"/>
        <w:ind w:left="720" w:hanging="720"/>
      </w:pPr>
      <w:r>
        <w:rPr>
          <w:rFonts w:ascii="Arial" w:hAnsi="Arial"/>
          <w:sz w:val="20"/>
        </w:rPr>
        <w:t>Ganguli, D., &amp; Simoncelli, E.P. (2014). Efficient sensory encoding and Bayesian inference with heterogeneous neural populations. Neural Computation, 26(10), 2103–2134.</w:t>
      </w:r>
    </w:p>
    <w:p>
      <w:pPr>
        <w:spacing w:after="80"/>
        <w:ind w:left="720" w:hanging="720"/>
      </w:pPr>
      <w:r>
        <w:rPr>
          <w:rFonts w:ascii="Arial" w:hAnsi="Arial"/>
          <w:sz w:val="20"/>
        </w:rPr>
        <w:t>Hubel, D.H., &amp; Wiesel, T.N. (1962). Receptive fields, binocular interaction and functional architecture in the cat’s visual cortex. The Journal of Physiology, 160(1), 106–154.</w:t>
      </w:r>
    </w:p>
    <w:p>
      <w:pPr>
        <w:spacing w:after="80"/>
        <w:ind w:left="720" w:hanging="720"/>
      </w:pPr>
      <w:r>
        <w:rPr>
          <w:rFonts w:ascii="Arial" w:hAnsi="Arial"/>
          <w:sz w:val="20"/>
        </w:rPr>
        <w:t>Stringer, C., Michaelos, M., &amp; Pachitariu, M. (2021). High-precision coding in visual cortex. Cell, 184(10), 2767–2778. DOI: 10.1016/j.cell.2021.03.042.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