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40" w:line="269" w:lineRule="auto"/>
        <w:jc w:val="left"/>
      </w:pPr>
      <w:r>
        <w:rPr>
          <w:rFonts w:ascii="Poppins" w:hAnsi="Poppins"/>
          <w:b/>
          <w:i w:val="0"/>
          <w:color w:val="9C02FA"/>
          <w:sz w:val="38"/>
        </w:rPr>
        <w:t>MAMMAL DTI — Nav-Subtype Selectivity Screen</w:t>
      </w:r>
    </w:p>
    <w:p>
      <w:pPr>
        <w:spacing w:after="40" w:before="0" w:line="269" w:lineRule="auto"/>
        <w:jc w:val="left"/>
      </w:pPr>
      <w:r>
        <w:rPr>
          <w:rFonts w:ascii="Poppins" w:hAnsi="Poppins"/>
          <w:b/>
          <w:i w:val="0"/>
          <w:color w:val="404040"/>
          <w:sz w:val="24"/>
        </w:rPr>
        <w:t>Predicted binding (pKD) vs. known pharmacology for Suzetrigine and Vixotrigine across the human Nav panel</w:t>
      </w:r>
    </w:p>
    <w:p>
      <w:pPr>
        <w:spacing w:after="200" w:before="0" w:line="269" w:lineRule="auto"/>
        <w:jc w:val="left"/>
      </w:pPr>
      <w:r>
        <w:rPr>
          <w:rFonts w:ascii="Poppins" w:hAnsi="Poppins"/>
          <w:b w:val="0"/>
          <w:i w:val="0"/>
          <w:color w:val="404040"/>
          <w:sz w:val="19"/>
        </w:rPr>
        <w:t>Prepared by Rohan Aryagondi  ·  Quiver Bioscience  ·  June 2026  ·  standard run (1,250-aa truncation)</w:t>
      </w:r>
    </w:p>
    <w:p>
      <w:pPr>
        <w:spacing w:after="100" w:before="240" w:line="269" w:lineRule="auto"/>
        <w:jc w:val="left"/>
      </w:pPr>
      <w:r>
        <w:rPr>
          <w:rFonts w:ascii="Poppins" w:hAnsi="Poppins"/>
          <w:b/>
          <w:i w:val="0"/>
          <w:color w:val="000000"/>
          <w:sz w:val="28"/>
        </w:rPr>
        <w:t>Summary</w:t>
      </w:r>
    </w:p>
    <w:p>
      <w:pPr>
        <w:spacing w:after="160" w:before="0" w:line="269" w:lineRule="auto"/>
        <w:jc w:val="both"/>
      </w:pPr>
      <w:r>
        <w:rPr>
          <w:rFonts w:ascii="Poppins" w:hAnsi="Poppins"/>
          <w:b w:val="0"/>
          <w:i w:val="0"/>
          <w:color w:val="000000"/>
          <w:sz w:val="22"/>
        </w:rPr>
        <w:t xml:space="preserve">MAMMAL's DTI head was run for </w:t>
      </w:r>
      <w:r>
        <w:rPr>
          <w:rFonts w:ascii="Poppins" w:hAnsi="Poppins"/>
          <w:b/>
          <w:i w:val="0"/>
          <w:color w:val="000000"/>
          <w:sz w:val="22"/>
        </w:rPr>
        <w:t>suzetrigine</w:t>
      </w:r>
      <w:r>
        <w:rPr>
          <w:rFonts w:ascii="Poppins" w:hAnsi="Poppins"/>
          <w:b w:val="0"/>
          <w:i w:val="0"/>
          <w:color w:val="000000"/>
          <w:sz w:val="22"/>
        </w:rPr>
        <w:t xml:space="preserve"> (Nav1.8-selective, ~30,000-fold) and </w:t>
      </w:r>
      <w:r>
        <w:rPr>
          <w:rFonts w:ascii="Poppins" w:hAnsi="Poppins"/>
          <w:b/>
          <w:i w:val="0"/>
          <w:color w:val="000000"/>
          <w:sz w:val="22"/>
        </w:rPr>
        <w:t>vixotrigine</w:t>
      </w:r>
      <w:r>
        <w:rPr>
          <w:rFonts w:ascii="Poppins" w:hAnsi="Poppins"/>
          <w:b w:val="0"/>
          <w:i w:val="0"/>
          <w:color w:val="000000"/>
          <w:sz w:val="22"/>
        </w:rPr>
        <w:t xml:space="preserve"> against all nine human Nav α-subunits, and each prediction is placed next to the </w:t>
      </w:r>
      <w:r>
        <w:rPr>
          <w:rFonts w:ascii="Poppins" w:hAnsi="Poppins"/>
          <w:b/>
          <w:i w:val="0"/>
          <w:color w:val="000000"/>
          <w:sz w:val="22"/>
        </w:rPr>
        <w:t>known experimental value</w:t>
      </w:r>
      <w:r>
        <w:rPr>
          <w:rFonts w:ascii="Poppins" w:hAnsi="Poppins"/>
          <w:b w:val="0"/>
          <w:i w:val="0"/>
          <w:color w:val="000000"/>
          <w:sz w:val="22"/>
        </w:rPr>
        <w:t>. The model returns a near-flat pKD (~6.8–7.5) across the whole panel. It gets suzetrigine's on-target affinity about right but assigns essentially the same value to all eight off-target channels — where the true affinity is ≥30,000× weaker — so it deviates from the known pharmacology by ~+4.5 log units on every decoy and fails the selectivity test for both compounds.</w:t>
      </w:r>
    </w:p>
    <w:p>
      <w:pPr>
        <w:spacing w:after="160" w:before="80" w:line="269" w:lineRule="auto"/>
        <w:ind w:left="200" w:right="120"/>
        <w:shd w:val="clear" w:color="auto" w:fill="F5F0FF"/>
        <w:pBdr>
          <w:left w:val="single" w:sz="24" w:space="8" w:color="9C02FA"/>
        </w:pBdr>
      </w:pPr>
      <w:r>
        <w:rPr>
          <w:rFonts w:ascii="Poppins" w:hAnsi="Poppins"/>
          <w:b/>
          <w:i w:val="0"/>
          <w:color w:val="9C02FA"/>
          <w:sz w:val="22"/>
        </w:rPr>
        <w:t xml:space="preserve">Bottom line:  </w:t>
      </w:r>
      <w:r>
        <w:rPr>
          <w:rFonts w:ascii="Poppins" w:hAnsi="Poppins"/>
          <w:b w:val="0"/>
          <w:i w:val="0"/>
          <w:color w:val="000000"/>
          <w:sz w:val="22"/>
        </w:rPr>
        <w:t>MAMMAL's DTI head reproduces the right ballpark affinity for the true target but cannot reproduce selectivity: it over-predicts binding to every off-target Nav subtype by ~4–5 orders of magnitude relative to the measured data. The deviation from the known answer is small at the on-target and enormous everywhere else — the 30,000-fold selectivity that defines suzetrigine is entirely absent from the prediction.</w:t>
      </w:r>
    </w:p>
    <w:p>
      <w:pPr>
        <w:spacing w:after="100" w:before="240" w:line="269" w:lineRule="auto"/>
        <w:jc w:val="left"/>
      </w:pPr>
      <w:r>
        <w:rPr>
          <w:rFonts w:ascii="Poppins" w:hAnsi="Poppins"/>
          <w:b/>
          <w:i w:val="0"/>
          <w:color w:val="000000"/>
          <w:sz w:val="28"/>
        </w:rPr>
        <w:t>Reference values used as the “expected” answer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9"/>
              </w:rPr>
              <w:t>Compound</w:t>
            </w:r>
          </w:p>
        </w:tc>
        <w:tc>
          <w:tcPr>
            <w:tcW w:type="dxa" w:w="2016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9"/>
              </w:rPr>
              <w:t>On-target</w:t>
            </w:r>
          </w:p>
        </w:tc>
        <w:tc>
          <w:tcPr>
            <w:tcW w:type="dxa" w:w="2016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9"/>
              </w:rPr>
              <w:t>Reference potency</w:t>
            </w:r>
          </w:p>
        </w:tc>
        <w:tc>
          <w:tcPr>
            <w:tcW w:type="dxa" w:w="2016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9"/>
              </w:rPr>
              <w:t>Subtype selectivity</w:t>
            </w:r>
          </w:p>
        </w:tc>
        <w:tc>
          <w:tcPr>
            <w:tcW w:type="dxa" w:w="2016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19"/>
              </w:rPr>
              <w:t>Suzetrigine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Nav1.8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 w:val="0"/>
                <w:color w:val="000000"/>
                <w:sz w:val="18"/>
              </w:rPr>
              <w:t>pKd 7.2 (binding); pIC50 9.6 (functional)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8"/>
              </w:rPr>
              <w:t>≥30,000× over all other Nav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 w:val="0"/>
                <w:color w:val="000000"/>
                <w:sz w:val="17"/>
              </w:rPr>
              <w:t>IUPHAR 12630; Vertex/NEJM 2024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19"/>
              </w:rPr>
              <w:t>Vixotrigine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Nav1.7 (nominal)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 w:val="0"/>
                <w:color w:val="000000"/>
                <w:sz w:val="18"/>
              </w:rPr>
              <w:t>pIC50 5.2; use-dep IC50 1.76–5.12 µM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8"/>
              </w:rPr>
              <w:t>None — broad-spectrum, state-dependent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 w:val="0"/>
                <w:color w:val="000000"/>
                <w:sz w:val="17"/>
              </w:rPr>
              <w:t>IUPHAR 12645; Hinckley 2021</w:t>
            </w:r>
          </w:p>
        </w:tc>
      </w:tr>
    </w:tbl>
    <w:p>
      <w:pPr>
        <w:spacing w:after="160" w:before="80" w:line="269" w:lineRule="auto"/>
        <w:jc w:val="left"/>
      </w:pPr>
      <w:r>
        <w:rPr>
          <w:rFonts w:ascii="Poppins" w:hAnsi="Poppins"/>
          <w:b w:val="0"/>
          <w:i/>
          <w:color w:val="404040"/>
          <w:sz w:val="18"/>
        </w:rPr>
        <w:t>Suzetrigine's on-target reference is a true binding pKd (VSD2-chimera assay), directly comparable to the model's pKD output; its off-target expectation (≈2.7) is derived from the published ≥30,000× (≈4.5 log) selectivity — no per-subtype binding values are published. *Vixotrigine's value is a functional, use-dependent pIC50 (not a binding pKD, so not directly comparable); it is a broad-spectrum blocker with no validated subtype selectivity, so it is a weak test of selectivity — its real selectivity is state/use-dependence, which a static sequence model cannot represent.</w:t>
      </w:r>
    </w:p>
    <w:p>
      <w:pPr>
        <w:spacing w:after="80" w:before="200" w:line="269" w:lineRule="auto"/>
        <w:jc w:val="left"/>
      </w:pPr>
      <w:r>
        <w:rPr>
          <w:rFonts w:ascii="Poppins" w:hAnsi="Poppins"/>
          <w:b/>
          <w:i w:val="0"/>
          <w:color w:val="000000"/>
          <w:sz w:val="21"/>
        </w:rPr>
        <w:t>Table 1.  Predicted pKD (model) vs. expected, by subtype.  ◀ = the compound's true on-target.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9"/>
              </w:rPr>
              <w:t>Subtype</w:t>
            </w:r>
          </w:p>
        </w:tc>
        <w:tc>
          <w:tcPr>
            <w:tcW w:type="dxa" w:w="2016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9"/>
              </w:rPr>
              <w:t>Suzetrigine</w:t>
              <w:br/>
              <w:t>model pKD</w:t>
            </w:r>
          </w:p>
        </w:tc>
        <w:tc>
          <w:tcPr>
            <w:tcW w:type="dxa" w:w="2016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9"/>
              </w:rPr>
              <w:t>Suzetrigine</w:t>
              <w:br/>
              <w:t>expected</w:t>
            </w:r>
          </w:p>
        </w:tc>
        <w:tc>
          <w:tcPr>
            <w:tcW w:type="dxa" w:w="2016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9"/>
              </w:rPr>
              <w:t>Vixotrigine</w:t>
              <w:br/>
              <w:t>model pKD</w:t>
            </w:r>
          </w:p>
        </w:tc>
        <w:tc>
          <w:tcPr>
            <w:tcW w:type="dxa" w:w="2016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9"/>
              </w:rPr>
              <w:t>Vixotrigine</w:t>
              <w:br/>
              <w:t>expected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20"/>
              </w:rPr>
              <w:t>Nav1.1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7.08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≈2.7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7.32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≈5.3*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20"/>
              </w:rPr>
              <w:t>Nav1.2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7.21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≈2.7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7.46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≈5.3*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20"/>
              </w:rPr>
              <w:t>Nav1.3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7.28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≈2.7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7.39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≈5.3*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20"/>
              </w:rPr>
              <w:t>Nav1.4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7.02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≈2.7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6.84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≈5.3*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20"/>
              </w:rPr>
              <w:t>Nav1.5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7.07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≈2.7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7.34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≈5.3*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20"/>
              </w:rPr>
              <w:t>Nav1.6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7.17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≈2.7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7.18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≈5.3*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20"/>
              </w:rPr>
              <w:t>Nav1.7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7.17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≈2.7</w:t>
            </w:r>
          </w:p>
        </w:tc>
        <w:tc>
          <w:tcPr>
            <w:tcW w:type="dxa" w:w="2016"/>
            <w:shd w:val="clear" w:color="auto" w:fill="F5F0F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9C02FA"/>
                <w:sz w:val="20"/>
              </w:rPr>
              <w:t>6.94  ◀</w:t>
            </w:r>
          </w:p>
        </w:tc>
        <w:tc>
          <w:tcPr>
            <w:tcW w:type="dxa" w:w="2016"/>
            <w:shd w:val="clear" w:color="auto" w:fill="F5F0F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9C02FA"/>
                <w:sz w:val="20"/>
              </w:rPr>
              <w:t>5.2*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20"/>
              </w:rPr>
              <w:t>Nav1.8</w:t>
            </w:r>
          </w:p>
        </w:tc>
        <w:tc>
          <w:tcPr>
            <w:tcW w:type="dxa" w:w="2016"/>
            <w:shd w:val="clear" w:color="auto" w:fill="F5F0F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9C02FA"/>
                <w:sz w:val="20"/>
              </w:rPr>
              <w:t>7.00  ◀</w:t>
            </w:r>
          </w:p>
        </w:tc>
        <w:tc>
          <w:tcPr>
            <w:tcW w:type="dxa" w:w="2016"/>
            <w:shd w:val="clear" w:color="auto" w:fill="F5F0F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9C02FA"/>
                <w:sz w:val="20"/>
              </w:rPr>
              <w:t>7.2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7.25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≈5.3*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20"/>
              </w:rPr>
              <w:t>Nav1.9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7.27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≈2.7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20"/>
              </w:rPr>
              <w:t>7.18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20"/>
              </w:rPr>
              <w:t>≈5.3*</w:t>
            </w:r>
          </w:p>
        </w:tc>
      </w:tr>
    </w:tbl>
    <w:p>
      <w:pPr>
        <w:spacing w:after="100" w:before="240" w:line="269" w:lineRule="auto"/>
        <w:jc w:val="left"/>
      </w:pPr>
      <w:r>
        <w:rPr>
          <w:rFonts w:ascii="Poppins" w:hAnsi="Poppins"/>
          <w:b/>
          <w:i w:val="0"/>
          <w:color w:val="000000"/>
          <w:sz w:val="28"/>
        </w:rPr>
        <w:t>How far the prediction is from the known answer</w:t>
      </w:r>
    </w:p>
    <w:p>
      <w:pPr>
        <w:spacing w:after="60" w:before="0" w:line="269" w:lineRule="auto"/>
        <w:jc w:val="left"/>
      </w:pPr>
      <w:r>
        <w:rPr>
          <w:rFonts w:ascii="Poppins" w:hAnsi="Poppins"/>
          <w:b/>
          <w:i w:val="0"/>
          <w:color w:val="000000"/>
          <w:sz w:val="22"/>
        </w:rPr>
        <w:t>Suzetrigine (the clean, apples-to-apples case — its reference is a binding pKd):</w:t>
      </w:r>
    </w:p>
    <w:p>
      <w:pPr>
        <w:spacing w:after="40" w:before="0" w:line="269" w:lineRule="auto"/>
        <w:jc w:val="left"/>
      </w:pPr>
      <w:r>
        <w:rPr>
          <w:rFonts w:ascii="Poppins" w:hAnsi="Poppins"/>
          <w:b w:val="0"/>
          <w:i w:val="0"/>
          <w:color w:val="000000"/>
          <w:sz w:val="22"/>
        </w:rPr>
        <w:t xml:space="preserve">• On-target (Nav1.8): model 7.00 vs expected 7.2 — deviation </w:t>
      </w:r>
      <w:r>
        <w:rPr>
          <w:rFonts w:ascii="Poppins" w:hAnsi="Poppins"/>
          <w:b/>
          <w:i w:val="0"/>
          <w:color w:val="000000"/>
          <w:sz w:val="22"/>
        </w:rPr>
        <w:t>≈ −0.2 log</w:t>
      </w:r>
      <w:r>
        <w:rPr>
          <w:rFonts w:ascii="Poppins" w:hAnsi="Poppins"/>
          <w:b w:val="0"/>
          <w:i w:val="0"/>
          <w:color w:val="000000"/>
          <w:sz w:val="22"/>
        </w:rPr>
        <w:t>. The model recovers the true target's affinity well.</w:t>
      </w:r>
    </w:p>
    <w:p>
      <w:pPr>
        <w:spacing w:after="120" w:before="0" w:line="269" w:lineRule="auto"/>
        <w:jc w:val="left"/>
      </w:pPr>
      <w:r>
        <w:rPr>
          <w:rFonts w:ascii="Poppins" w:hAnsi="Poppins"/>
          <w:b w:val="0"/>
          <w:i w:val="0"/>
          <w:color w:val="000000"/>
          <w:sz w:val="22"/>
        </w:rPr>
        <w:t xml:space="preserve">• Off-targets (the other 8): model ~7.0–7.3 vs expected ≈2.7 — deviation </w:t>
      </w:r>
      <w:r>
        <w:rPr>
          <w:rFonts w:ascii="Poppins" w:hAnsi="Poppins"/>
          <w:b/>
          <w:i w:val="0"/>
          <w:color w:val="F51D3F"/>
          <w:sz w:val="22"/>
        </w:rPr>
        <w:t>≈ +4.3 to +4.6 log units</w:t>
      </w:r>
      <w:r>
        <w:rPr>
          <w:rFonts w:ascii="Poppins" w:hAnsi="Poppins"/>
          <w:b w:val="0"/>
          <w:i w:val="0"/>
          <w:color w:val="000000"/>
          <w:sz w:val="22"/>
        </w:rPr>
        <w:t xml:space="preserve"> on every channel. The model predicts each decoy binds about as tightly as the real target, erasing the 30,000-fold selectivity.</w:t>
      </w:r>
    </w:p>
    <w:p>
      <w:pPr>
        <w:spacing w:after="60" w:before="0" w:line="269" w:lineRule="auto"/>
        <w:jc w:val="left"/>
      </w:pPr>
      <w:r>
        <w:rPr>
          <w:rFonts w:ascii="Poppins" w:hAnsi="Poppins"/>
          <w:b/>
          <w:i w:val="0"/>
          <w:color w:val="000000"/>
          <w:sz w:val="22"/>
        </w:rPr>
        <w:t>Vixotrigine:</w:t>
      </w:r>
    </w:p>
    <w:p>
      <w:pPr>
        <w:spacing w:after="80" w:before="0" w:line="269" w:lineRule="auto"/>
        <w:jc w:val="both"/>
      </w:pPr>
      <w:r>
        <w:rPr>
          <w:rFonts w:ascii="Poppins" w:hAnsi="Poppins"/>
          <w:b w:val="0"/>
          <w:i w:val="0"/>
          <w:color w:val="000000"/>
          <w:sz w:val="22"/>
        </w:rPr>
        <w:t>Model ~6.8–7.5 (pKD) vs a functional pIC50 of ~5.2–5.75 with no subtype selectivity. The model over-predicts the absolute magnitude by ~2 log and, being a static binder, cannot capture the use-dependence that actually gives vixotrigine its therapeutic selectivity. Because the drug is not subtype-selective, a flat prediction is not “wrong” about selectivity here — but it is also not informative, and the on-target Nav1.7 is not the model's top-ranked channel (Nav1.2 is).</w:t>
      </w:r>
    </w:p>
    <w:p>
      <w:pPr>
        <w:spacing w:after="100" w:before="240" w:line="269" w:lineRule="auto"/>
        <w:jc w:val="left"/>
      </w:pPr>
      <w:r>
        <w:rPr>
          <w:rFonts w:ascii="Poppins" w:hAnsi="Poppins"/>
          <w:b/>
          <w:i w:val="0"/>
          <w:color w:val="000000"/>
          <w:sz w:val="28"/>
        </w:rPr>
        <w:t>Why the model behaves this way</w:t>
      </w:r>
    </w:p>
    <w:p>
      <w:pPr>
        <w:spacing w:after="160" w:before="0" w:line="269" w:lineRule="auto"/>
        <w:jc w:val="both"/>
      </w:pPr>
      <w:r>
        <w:rPr>
          <w:rFonts w:ascii="Poppins" w:hAnsi="Poppins"/>
          <w:b/>
          <w:i w:val="0"/>
          <w:color w:val="000000"/>
          <w:sz w:val="22"/>
        </w:rPr>
        <w:t xml:space="preserve">Two known limitations (Phases 1–2b): </w:t>
      </w:r>
      <w:r>
        <w:rPr>
          <w:rFonts w:ascii="Poppins" w:hAnsi="Poppins"/>
          <w:b w:val="0"/>
          <w:i w:val="0"/>
          <w:color w:val="000000"/>
          <w:sz w:val="22"/>
        </w:rPr>
        <w:t>(1) the DTI head truncates each ~2,000-aa channel to its first 1,250 aa, discarding the domain-IV voltage sensor and C-terminal tail where Nav subtype differences live; and (2) even with that aside, the head shows ≈ chance binder-vs-decoy separation on single targets and only weak soft re-ranking across diverse targets — nine ~75–90%-identical Nav channels are the opposite of diverse. A companion report repeats this with the truncation removed and reaches the same verdict.</w:t>
      </w:r>
    </w:p>
    <w:p>
      <w:pPr>
        <w:spacing w:after="160" w:before="120" w:line="269" w:lineRule="auto"/>
        <w:jc w:val="left"/>
      </w:pPr>
      <w:r>
        <w:rPr>
          <w:rFonts w:ascii="Poppins" w:hAnsi="Poppins"/>
          <w:b/>
          <w:i w:val="0"/>
          <w:color w:val="404040"/>
          <w:sz w:val="19"/>
        </w:rPr>
        <w:t xml:space="preserve">Reproducibility:  </w:t>
      </w:r>
      <w:r>
        <w:rPr>
          <w:rFonts w:ascii="Consolas" w:hAnsi="Consolas"/>
          <w:b w:val="0"/>
          <w:i w:val="0"/>
          <w:color w:val="404040"/>
          <w:sz w:val="19"/>
        </w:rPr>
        <w:t>experiments/phase8_nav_selectivity.py</w:t>
      </w:r>
      <w:r>
        <w:rPr>
          <w:rFonts w:ascii="Poppins" w:hAnsi="Poppins"/>
          <w:b w:val="0"/>
          <w:i w:val="0"/>
          <w:color w:val="404040"/>
          <w:sz w:val="19"/>
        </w:rPr>
        <w:t xml:space="preserve">  ·  raw output </w:t>
      </w:r>
      <w:r>
        <w:rPr>
          <w:rFonts w:ascii="Consolas" w:hAnsi="Consolas"/>
          <w:b w:val="0"/>
          <w:i w:val="0"/>
          <w:color w:val="404040"/>
          <w:sz w:val="19"/>
        </w:rPr>
        <w:t>results/phase8_nav_selectivity_20260602_164449.json</w:t>
      </w:r>
      <w:r>
        <w:rPr>
          <w:rFonts w:ascii="Poppins" w:hAnsi="Poppins"/>
          <w:b w:val="0"/>
          <w:i w:val="0"/>
          <w:color w:val="404040"/>
          <w:sz w:val="19"/>
        </w:rPr>
        <w:t xml:space="preserve">  ·  full writeup </w:t>
      </w:r>
      <w:r>
        <w:rPr>
          <w:rFonts w:ascii="Consolas" w:hAnsi="Consolas"/>
          <w:b w:val="0"/>
          <w:i w:val="0"/>
          <w:color w:val="404040"/>
          <w:sz w:val="19"/>
        </w:rPr>
        <w:t>results/phase8_nav_selectivity.md</w:t>
      </w:r>
      <w:r>
        <w:rPr>
          <w:rFonts w:ascii="Poppins" w:hAnsi="Poppins"/>
          <w:b w:val="0"/>
          <w:i w:val="0"/>
          <w:color w:val="404040"/>
          <w:sz w:val="19"/>
        </w:rPr>
        <w:t>.</w:t>
      </w:r>
    </w:p>
    <w:sectPr w:rsidR="003A2397" w:rsidRPr="00215C28" w:rsidSect="00EF00CE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FB841" w14:textId="77777777" w:rsidR="005B2DFC" w:rsidRDefault="005B2DFC" w:rsidP="0075656C">
      <w:r>
        <w:separator/>
      </w:r>
    </w:p>
  </w:endnote>
  <w:endnote w:type="continuationSeparator" w:id="0">
    <w:p w14:paraId="6F1BD485" w14:textId="77777777" w:rsidR="005B2DFC" w:rsidRDefault="005B2DFC" w:rsidP="00756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54BF3" w14:textId="77777777" w:rsidR="00974759" w:rsidRDefault="00E50376" w:rsidP="00974759">
    <w:pPr>
      <w:spacing w:line="276" w:lineRule="auto"/>
      <w:rPr>
        <w:rFonts w:ascii="Helvetica Light" w:hAnsi="Helvetica Light"/>
        <w:color w:val="404040" w:themeColor="text1" w:themeTint="BF"/>
        <w:sz w:val="20"/>
        <w:szCs w:val="20"/>
      </w:rPr>
    </w:pPr>
    <w:r w:rsidRPr="0075656C">
      <w:rPr>
        <w:rFonts w:ascii="Helvetica Light" w:hAnsi="Helvetica Light"/>
        <w:color w:val="404040" w:themeColor="text1" w:themeTint="BF"/>
        <w:sz w:val="20"/>
        <w:szCs w:val="20"/>
      </w:rPr>
      <w:t>1</w:t>
    </w:r>
    <w:r w:rsidR="00743F55">
      <w:rPr>
        <w:rFonts w:ascii="Helvetica Light" w:hAnsi="Helvetica Light"/>
        <w:color w:val="404040" w:themeColor="text1" w:themeTint="BF"/>
        <w:sz w:val="20"/>
        <w:szCs w:val="20"/>
      </w:rPr>
      <w:t xml:space="preserve">50 </w:t>
    </w:r>
    <w:proofErr w:type="spellStart"/>
    <w:r w:rsidR="00743F55">
      <w:rPr>
        <w:rFonts w:ascii="Helvetica Light" w:hAnsi="Helvetica Light"/>
        <w:color w:val="404040" w:themeColor="text1" w:themeTint="BF"/>
        <w:sz w:val="20"/>
        <w:szCs w:val="20"/>
      </w:rPr>
      <w:t>CambridgePark</w:t>
    </w:r>
    <w:proofErr w:type="spellEnd"/>
    <w:r w:rsidR="00743F55">
      <w:rPr>
        <w:rFonts w:ascii="Helvetica Light" w:hAnsi="Helvetica Light"/>
        <w:color w:val="404040" w:themeColor="text1" w:themeTint="BF"/>
        <w:sz w:val="20"/>
        <w:szCs w:val="20"/>
      </w:rPr>
      <w:t xml:space="preserve"> Drive</w:t>
    </w:r>
    <w:r w:rsidR="00974759">
      <w:rPr>
        <w:rFonts w:ascii="Helvetica Light" w:hAnsi="Helvetica Light"/>
        <w:color w:val="404040" w:themeColor="text1" w:themeTint="BF"/>
        <w:sz w:val="20"/>
        <w:szCs w:val="20"/>
      </w:rPr>
      <w:t xml:space="preserve">, </w:t>
    </w:r>
    <w:r w:rsidR="00974759" w:rsidRPr="0075656C">
      <w:rPr>
        <w:rFonts w:ascii="Helvetica Light" w:hAnsi="Helvetica Light"/>
        <w:color w:val="404040" w:themeColor="text1" w:themeTint="BF"/>
        <w:sz w:val="20"/>
        <w:szCs w:val="20"/>
      </w:rPr>
      <w:t>Cambridge, MA 021</w:t>
    </w:r>
    <w:r w:rsidR="00974759">
      <w:rPr>
        <w:rFonts w:ascii="Helvetica Light" w:hAnsi="Helvetica Light"/>
        <w:color w:val="404040" w:themeColor="text1" w:themeTint="BF"/>
        <w:sz w:val="20"/>
        <w:szCs w:val="20"/>
      </w:rPr>
      <w:t xml:space="preserve">40  </w:t>
    </w:r>
  </w:p>
  <w:p w14:paraId="6CD4313A" w14:textId="189F6662" w:rsidR="0075656C" w:rsidRPr="00974759" w:rsidRDefault="00974759" w:rsidP="00974759">
    <w:pPr>
      <w:spacing w:line="276" w:lineRule="auto"/>
      <w:rPr>
        <w:rFonts w:ascii="Helvetica Light" w:hAnsi="Helvetica Light"/>
        <w:color w:val="404040" w:themeColor="text1" w:themeTint="BF"/>
        <w:sz w:val="20"/>
        <w:szCs w:val="20"/>
      </w:rPr>
    </w:pPr>
    <w:r>
      <w:rPr>
        <w:rFonts w:ascii="Helvetica Light" w:hAnsi="Helvetica Light"/>
        <w:color w:val="404040" w:themeColor="text1" w:themeTint="BF"/>
        <w:sz w:val="20"/>
        <w:szCs w:val="20"/>
      </w:rPr>
      <w:t>P. (617) 396-3611</w:t>
    </w:r>
    <w:r w:rsidR="00530F14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03B3BC8" wp14:editId="2B9B101A">
              <wp:simplePos x="0" y="0"/>
              <wp:positionH relativeFrom="column">
                <wp:posOffset>-924674</wp:posOffset>
              </wp:positionH>
              <wp:positionV relativeFrom="paragraph">
                <wp:posOffset>489114</wp:posOffset>
              </wp:positionV>
              <wp:extent cx="7778839" cy="155526"/>
              <wp:effectExtent l="0" t="0" r="6350" b="0"/>
              <wp:wrapNone/>
              <wp:docPr id="1724742228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839" cy="155526"/>
                      </a:xfrm>
                      <a:prstGeom prst="rect">
                        <a:avLst/>
                      </a:prstGeom>
                      <a:solidFill>
                        <a:srgbClr val="A105D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70F352" id="Rectangle 5" o:spid="_x0000_s1026" style="position:absolute;margin-left:-72.8pt;margin-top:38.5pt;width:612.5pt;height:12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" fillcolor="#a105dd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72535" w14:textId="77777777" w:rsidR="005B2DFC" w:rsidRDefault="005B2DFC" w:rsidP="0075656C">
      <w:r>
        <w:separator/>
      </w:r>
    </w:p>
  </w:footnote>
  <w:footnote w:type="continuationSeparator" w:id="0">
    <w:p w14:paraId="623D007A" w14:textId="77777777" w:rsidR="005B2DFC" w:rsidRDefault="005B2DFC" w:rsidP="00756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05F1" w14:textId="4A86C10F" w:rsidR="00530F14" w:rsidRDefault="0075656C" w:rsidP="00E50376">
    <w:pPr>
      <w:spacing w:line="276" w:lineRule="auto"/>
      <w:rPr>
        <w:rFonts w:ascii="Helvetica Light" w:hAnsi="Helvetica Light"/>
        <w:color w:val="404040" w:themeColor="text1" w:themeTint="BF"/>
        <w:sz w:val="20"/>
        <w:szCs w:val="20"/>
      </w:rPr>
    </w:pPr>
    <w:r>
      <w:rPr>
        <w:noProof/>
      </w:rPr>
      <w:drawing>
        <wp:inline distT="0" distB="0" distL="0" distR="0" wp14:anchorId="2A0E00FB" wp14:editId="44470614">
          <wp:extent cx="2936573" cy="257578"/>
          <wp:effectExtent l="0" t="0" r="0" b="0"/>
          <wp:docPr id="199108493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1084932" name="Picture 19910849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8827" cy="3604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Helvetica Light" w:hAnsi="Helvetica Light"/>
        <w:color w:val="404040" w:themeColor="text1" w:themeTint="BF"/>
        <w:sz w:val="22"/>
        <w:szCs w:val="22"/>
      </w:rPr>
      <w:t xml:space="preserve">                                                   </w:t>
    </w:r>
  </w:p>
  <w:p w14:paraId="3EF5F7BD" w14:textId="77777777" w:rsidR="00530F14" w:rsidRDefault="00530F14" w:rsidP="00530F14">
    <w:pPr>
      <w:spacing w:line="276" w:lineRule="auto"/>
      <w:jc w:val="right"/>
      <w:rPr>
        <w:rFonts w:ascii="Helvetica Light" w:hAnsi="Helvetica Light"/>
        <w:color w:val="404040" w:themeColor="text1" w:themeTint="BF"/>
        <w:sz w:val="20"/>
        <w:szCs w:val="20"/>
      </w:rPr>
    </w:pPr>
  </w:p>
  <w:p w14:paraId="7F7B85C7" w14:textId="0AD8EC82" w:rsidR="0075656C" w:rsidRPr="00530F14" w:rsidRDefault="00530F14" w:rsidP="00530F14">
    <w:pPr>
      <w:spacing w:line="276" w:lineRule="auto"/>
      <w:jc w:val="right"/>
      <w:rPr>
        <w:rFonts w:ascii="Helvetica Light" w:hAnsi="Helvetica Light"/>
        <w:color w:val="404040" w:themeColor="text1" w:themeTint="BF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6BD9A2" wp14:editId="1EF583AB">
              <wp:simplePos x="0" y="0"/>
              <wp:positionH relativeFrom="column">
                <wp:posOffset>-920932</wp:posOffset>
              </wp:positionH>
              <wp:positionV relativeFrom="paragraph">
                <wp:posOffset>118564</wp:posOffset>
              </wp:positionV>
              <wp:extent cx="8007531" cy="0"/>
              <wp:effectExtent l="0" t="0" r="6350" b="12700"/>
              <wp:wrapNone/>
              <wp:docPr id="704733681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7531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7E97190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2.5pt,9.35pt" to="558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" strokecolor="#a5a5a5 [3206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50ED0"/>
    <w:multiLevelType w:val="multilevel"/>
    <w:tmpl w:val="DAB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B217C"/>
    <w:multiLevelType w:val="multilevel"/>
    <w:tmpl w:val="8556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36904"/>
    <w:multiLevelType w:val="multilevel"/>
    <w:tmpl w:val="12F0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317281">
    <w:abstractNumId w:val="1"/>
  </w:num>
  <w:num w:numId="2" w16cid:durableId="775096499">
    <w:abstractNumId w:val="0"/>
  </w:num>
  <w:num w:numId="3" w16cid:durableId="1071737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6C"/>
    <w:rsid w:val="000666C2"/>
    <w:rsid w:val="000A77C9"/>
    <w:rsid w:val="00147767"/>
    <w:rsid w:val="001502D2"/>
    <w:rsid w:val="00187877"/>
    <w:rsid w:val="001E4C1F"/>
    <w:rsid w:val="001F4D5E"/>
    <w:rsid w:val="00214613"/>
    <w:rsid w:val="00215C28"/>
    <w:rsid w:val="00242769"/>
    <w:rsid w:val="002504D0"/>
    <w:rsid w:val="0027076D"/>
    <w:rsid w:val="002E2306"/>
    <w:rsid w:val="002E4600"/>
    <w:rsid w:val="003141A6"/>
    <w:rsid w:val="00320EDE"/>
    <w:rsid w:val="0033349E"/>
    <w:rsid w:val="003A2397"/>
    <w:rsid w:val="003B241D"/>
    <w:rsid w:val="004007A5"/>
    <w:rsid w:val="00442565"/>
    <w:rsid w:val="00480D83"/>
    <w:rsid w:val="004A433B"/>
    <w:rsid w:val="004A4C3B"/>
    <w:rsid w:val="004C6C65"/>
    <w:rsid w:val="00505623"/>
    <w:rsid w:val="0050759D"/>
    <w:rsid w:val="00530F14"/>
    <w:rsid w:val="00562C82"/>
    <w:rsid w:val="00577711"/>
    <w:rsid w:val="00592A87"/>
    <w:rsid w:val="00594466"/>
    <w:rsid w:val="005B2DFC"/>
    <w:rsid w:val="005B429B"/>
    <w:rsid w:val="006026C5"/>
    <w:rsid w:val="00613932"/>
    <w:rsid w:val="006532AA"/>
    <w:rsid w:val="00663115"/>
    <w:rsid w:val="006745BE"/>
    <w:rsid w:val="00690018"/>
    <w:rsid w:val="0070386A"/>
    <w:rsid w:val="00733D2A"/>
    <w:rsid w:val="00743F55"/>
    <w:rsid w:val="0075656C"/>
    <w:rsid w:val="00760424"/>
    <w:rsid w:val="007A74FC"/>
    <w:rsid w:val="007A7895"/>
    <w:rsid w:val="007E32B8"/>
    <w:rsid w:val="007E5DF2"/>
    <w:rsid w:val="00802EE6"/>
    <w:rsid w:val="00871BCC"/>
    <w:rsid w:val="008B603F"/>
    <w:rsid w:val="008C27DB"/>
    <w:rsid w:val="008C595A"/>
    <w:rsid w:val="00962542"/>
    <w:rsid w:val="00962ECD"/>
    <w:rsid w:val="00974759"/>
    <w:rsid w:val="00A54CC5"/>
    <w:rsid w:val="00A705AC"/>
    <w:rsid w:val="00AC4C3E"/>
    <w:rsid w:val="00AF6425"/>
    <w:rsid w:val="00B51805"/>
    <w:rsid w:val="00B7331E"/>
    <w:rsid w:val="00B855B8"/>
    <w:rsid w:val="00C01F18"/>
    <w:rsid w:val="00C04984"/>
    <w:rsid w:val="00C51D83"/>
    <w:rsid w:val="00C8049D"/>
    <w:rsid w:val="00CB79D6"/>
    <w:rsid w:val="00CF7DBB"/>
    <w:rsid w:val="00D12659"/>
    <w:rsid w:val="00D26029"/>
    <w:rsid w:val="00D363AD"/>
    <w:rsid w:val="00D52CB7"/>
    <w:rsid w:val="00D642F3"/>
    <w:rsid w:val="00D900E4"/>
    <w:rsid w:val="00DF21C9"/>
    <w:rsid w:val="00E01B98"/>
    <w:rsid w:val="00E10A42"/>
    <w:rsid w:val="00E50376"/>
    <w:rsid w:val="00E8651D"/>
    <w:rsid w:val="00EA0FB1"/>
    <w:rsid w:val="00ED675C"/>
    <w:rsid w:val="00EF00CE"/>
    <w:rsid w:val="00EF7F82"/>
    <w:rsid w:val="00F063B0"/>
    <w:rsid w:val="00F06D53"/>
    <w:rsid w:val="00F43625"/>
    <w:rsid w:val="00F54D48"/>
    <w:rsid w:val="00F66F13"/>
    <w:rsid w:val="00FC1959"/>
    <w:rsid w:val="00FC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E306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65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656C"/>
  </w:style>
  <w:style w:type="paragraph" w:styleId="Footer">
    <w:name w:val="footer"/>
    <w:basedOn w:val="Normal"/>
    <w:link w:val="FooterChar"/>
    <w:uiPriority w:val="99"/>
    <w:unhideWhenUsed/>
    <w:rsid w:val="007565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656C"/>
  </w:style>
  <w:style w:type="paragraph" w:styleId="BalloonText">
    <w:name w:val="Balloon Text"/>
    <w:basedOn w:val="Normal"/>
    <w:link w:val="BalloonTextChar"/>
    <w:uiPriority w:val="99"/>
    <w:semiHidden/>
    <w:unhideWhenUsed/>
    <w:rsid w:val="00E5037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376"/>
    <w:rPr>
      <w:rFonts w:ascii="Times New Roman" w:hAnsi="Times New Roman" w:cs="Times New Roman"/>
      <w:sz w:val="18"/>
      <w:szCs w:val="18"/>
    </w:rPr>
  </w:style>
  <w:style w:type="paragraph" w:customStyle="1" w:styleId="Normal1">
    <w:name w:val="Normal1"/>
    <w:rsid w:val="004A4C3B"/>
    <w:pPr>
      <w:pBdr>
        <w:top w:val="nil"/>
        <w:left w:val="nil"/>
        <w:bottom w:val="nil"/>
        <w:right w:val="nil"/>
        <w:between w:val="nil"/>
      </w:pBdr>
    </w:pPr>
    <w:rPr>
      <w:rFonts w:ascii="Cambria" w:eastAsia="Cambria" w:hAnsi="Cambria" w:cs="Cambria"/>
      <w:color w:val="000000"/>
    </w:rPr>
  </w:style>
  <w:style w:type="paragraph" w:customStyle="1" w:styleId="paragraph">
    <w:name w:val="paragraph"/>
    <w:basedOn w:val="Normal"/>
    <w:rsid w:val="004A4C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50759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147767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table" w:styleId="TableGrid">
    <w:name w:val="Table Grid"/>
    <w:basedOn w:val="TableNormal"/>
    <w:uiPriority w:val="39"/>
    <w:rsid w:val="00147767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0CEA5F-07FC-C846-8BB9-DDE2D820E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Choi</dc:creator>
  <cp:keywords/>
  <dc:description/>
  <cp:lastModifiedBy>Noelle Germain</cp:lastModifiedBy>
  <cp:revision>2</cp:revision>
  <dcterms:created xsi:type="dcterms:W3CDTF">2025-08-27T20:18:00Z</dcterms:created>
  <dcterms:modified xsi:type="dcterms:W3CDTF">2025-08-27T20:18:00Z</dcterms:modified>
</cp:coreProperties>
</file>