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40" w:line="269" w:lineRule="auto"/>
        <w:jc w:val="left"/>
      </w:pPr>
      <w:r>
        <w:rPr>
          <w:rFonts w:ascii="Poppins" w:hAnsi="Poppins"/>
          <w:b/>
          <w:i w:val="0"/>
          <w:color w:val="9C02FA"/>
          <w:sz w:val="38"/>
        </w:rPr>
        <w:t>MAMMAL DTI — Nav-Subtype Selectivity Screen</w:t>
      </w:r>
    </w:p>
    <w:p>
      <w:pPr>
        <w:spacing w:after="40" w:before="0" w:line="269" w:lineRule="auto"/>
        <w:jc w:val="left"/>
      </w:pPr>
      <w:r>
        <w:rPr>
          <w:rFonts w:ascii="Poppins" w:hAnsi="Poppins"/>
          <w:b/>
          <w:i w:val="0"/>
          <w:color w:val="404040"/>
          <w:sz w:val="24"/>
        </w:rPr>
        <w:t>Full-length re-run (1,250-aa truncation removed), vs. truncated run and known pharmacology</w:t>
      </w:r>
    </w:p>
    <w:p>
      <w:pPr>
        <w:spacing w:after="200" w:before="0" w:line="269" w:lineRule="auto"/>
        <w:jc w:val="left"/>
      </w:pPr>
      <w:r>
        <w:rPr>
          <w:rFonts w:ascii="Poppins" w:hAnsi="Poppins"/>
          <w:b w:val="0"/>
          <w:i w:val="0"/>
          <w:color w:val="404040"/>
          <w:sz w:val="19"/>
        </w:rPr>
        <w:t>Prepared by Rohan Aryagondi  ·  Quiver Bioscience  ·  June 2026  ·  companion to the standard-run report</w:t>
      </w:r>
    </w:p>
    <w:p>
      <w:pPr>
        <w:spacing w:after="100" w:before="240" w:line="269" w:lineRule="auto"/>
        <w:jc w:val="left"/>
      </w:pPr>
      <w:r>
        <w:rPr>
          <w:rFonts w:ascii="Poppins" w:hAnsi="Poppins"/>
          <w:b/>
          <w:i w:val="0"/>
          <w:color w:val="000000"/>
          <w:sz w:val="28"/>
        </w:rPr>
        <w:t>Summary</w:t>
      </w:r>
    </w:p>
    <w:p>
      <w:pPr>
        <w:spacing w:after="160" w:before="0" w:line="269" w:lineRule="auto"/>
        <w:jc w:val="both"/>
      </w:pPr>
      <w:r>
        <w:rPr>
          <w:rFonts w:ascii="Poppins" w:hAnsi="Poppins"/>
          <w:b w:val="0"/>
          <w:i w:val="0"/>
          <w:color w:val="000000"/>
          <w:sz w:val="22"/>
        </w:rPr>
        <w:t xml:space="preserve">The screen was repeated with both DTI length caps raised so the full 1,791–2,016 aa channels are scored with </w:t>
      </w:r>
      <w:r>
        <w:rPr>
          <w:rFonts w:ascii="Poppins" w:hAnsi="Poppins"/>
          <w:b/>
          <w:i w:val="0"/>
          <w:color w:val="000000"/>
          <w:sz w:val="22"/>
        </w:rPr>
        <w:t>no truncation</w:t>
      </w:r>
      <w:r>
        <w:rPr>
          <w:rFonts w:ascii="Poppins" w:hAnsi="Poppins"/>
          <w:b w:val="0"/>
          <w:i w:val="0"/>
          <w:color w:val="000000"/>
          <w:sz w:val="22"/>
        </w:rPr>
        <w:t xml:space="preserve"> (verified — the tokenizer truncation warning fired on zero of 18 pairs). Removing truncation does </w:t>
      </w:r>
      <w:r>
        <w:rPr>
          <w:rFonts w:ascii="Poppins" w:hAnsi="Poppins"/>
          <w:b/>
          <w:i/>
          <w:color w:val="000000"/>
          <w:sz w:val="22"/>
        </w:rPr>
        <w:t>not</w:t>
      </w:r>
      <w:r>
        <w:rPr>
          <w:rFonts w:ascii="Poppins" w:hAnsi="Poppins"/>
          <w:b w:val="0"/>
          <w:i w:val="0"/>
          <w:color w:val="000000"/>
          <w:sz w:val="22"/>
        </w:rPr>
        <w:t xml:space="preserve"> bring the predictions toward the known pharmacology: every score rises (an out-of-distribution effect), suzetrigine→Nav1.8 edges to the top of its row by a meaningless +0.03, and the deviation from the expected ≥30,000× selectivity window stays ~+4.5 log on every off-target.</w:t>
      </w:r>
    </w:p>
    <w:p>
      <w:pPr>
        <w:spacing w:after="160" w:before="80" w:line="269" w:lineRule="auto"/>
        <w:ind w:left="200" w:right="120"/>
        <w:shd w:val="clear" w:color="auto" w:fill="F5F0FF"/>
        <w:pBdr>
          <w:left w:val="single" w:sz="24" w:space="8" w:color="9C02FA"/>
        </w:pBdr>
      </w:pPr>
      <w:r>
        <w:rPr>
          <w:rFonts w:ascii="Poppins" w:hAnsi="Poppins"/>
          <w:b/>
          <w:i w:val="0"/>
          <w:color w:val="9C02FA"/>
          <w:sz w:val="22"/>
        </w:rPr>
        <w:t xml:space="preserve">Bottom line:  </w:t>
      </w:r>
      <w:r>
        <w:rPr>
          <w:rFonts w:ascii="Poppins" w:hAnsi="Poppins"/>
          <w:b w:val="0"/>
          <w:i w:val="0"/>
          <w:color w:val="000000"/>
          <w:sz w:val="22"/>
        </w:rPr>
        <w:t>Truncation was not what hid Nav selectivity. With the full sequence scored, the model still over-predicts off-target binding by ~4–5 orders of magnitude vs. the measured data, and the full-length numbers are extrapolation (the head was fine-tuned at length 1,512), so they are if anything less trustworthy. The truncated run remains the canonical one.</w:t>
      </w:r>
    </w:p>
    <w:p>
      <w:pPr>
        <w:spacing w:after="100" w:before="240" w:line="269" w:lineRule="auto"/>
        <w:jc w:val="left"/>
      </w:pPr>
      <w:r>
        <w:rPr>
          <w:rFonts w:ascii="Poppins" w:hAnsi="Poppins"/>
          <w:b/>
          <w:i w:val="0"/>
          <w:color w:val="000000"/>
          <w:sz w:val="28"/>
        </w:rPr>
        <w:t>Reference values used as the “expected” answer</w:t>
      </w:r>
    </w:p>
    <w:p>
      <w:pPr>
        <w:spacing w:after="80" w:before="0" w:line="269" w:lineRule="auto"/>
        <w:jc w:val="left"/>
      </w:pPr>
      <w:r>
        <w:rPr>
          <w:rFonts w:ascii="Poppins" w:hAnsi="Poppins"/>
          <w:b w:val="0"/>
          <w:i/>
          <w:color w:val="404040"/>
          <w:sz w:val="18"/>
        </w:rPr>
        <w:t>Suzetrigine — Nav1.8 pKd 7.2 (binding) / pIC50 9.6 (functional), ≥30,000× selective over all other Nav subtypes (IUPHAR 12630; Vertex/NEJM 2024) → expected ≈2.7 at every off-target. Vixotrigine — Nav1.7 pIC50 5.2; use-dependent IC50 1.76–5.12 µM; broad-spectrum, no subtype selectivity (IUPHAR 12645; Hinckley 2021).  *Functional pIC50, not a binding pKD — not directly comparable to the model and a weak test of selectivity.</w:t>
      </w:r>
    </w:p>
    <w:p>
      <w:pPr>
        <w:spacing w:after="80" w:before="120" w:line="269" w:lineRule="auto"/>
        <w:jc w:val="left"/>
      </w:pPr>
      <w:r>
        <w:rPr>
          <w:rFonts w:ascii="Poppins" w:hAnsi="Poppins"/>
          <w:b/>
          <w:i w:val="0"/>
          <w:color w:val="000000"/>
          <w:sz w:val="21"/>
        </w:rPr>
        <w:t>Table 1.  Predicted pKD: full-length vs. truncated vs. expected.  ◀ = the compound's true on-target.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8"/>
              </w:rPr>
              <w:t>Subtype</w:t>
            </w:r>
          </w:p>
        </w:tc>
        <w:tc>
          <w:tcPr>
            <w:tcW w:type="dxa" w:w="1440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8"/>
              </w:rPr>
              <w:t>Suze</w:t>
              <w:br/>
              <w:t>full</w:t>
            </w:r>
          </w:p>
        </w:tc>
        <w:tc>
          <w:tcPr>
            <w:tcW w:type="dxa" w:w="1440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8"/>
              </w:rPr>
              <w:t>Suze</w:t>
              <w:br/>
              <w:t>trunc.</w:t>
            </w:r>
          </w:p>
        </w:tc>
        <w:tc>
          <w:tcPr>
            <w:tcW w:type="dxa" w:w="1440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8"/>
              </w:rPr>
              <w:t>Suze</w:t>
              <w:br/>
              <w:t>expected</w:t>
            </w:r>
          </w:p>
        </w:tc>
        <w:tc>
          <w:tcPr>
            <w:tcW w:type="dxa" w:w="1440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8"/>
              </w:rPr>
              <w:t>Vixo</w:t>
              <w:br/>
              <w:t>full</w:t>
            </w:r>
          </w:p>
        </w:tc>
        <w:tc>
          <w:tcPr>
            <w:tcW w:type="dxa" w:w="1440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8"/>
              </w:rPr>
              <w:t>Vixo</w:t>
              <w:br/>
              <w:t>trunc.</w:t>
            </w:r>
          </w:p>
        </w:tc>
        <w:tc>
          <w:tcPr>
            <w:tcW w:type="dxa" w:w="1440"/>
            <w:shd w:val="clear" w:color="auto" w:fill="9C02FA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FFFFFF"/>
                <w:sz w:val="18"/>
              </w:rPr>
              <w:t>Vixo</w:t>
              <w:br/>
              <w:t>expected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Nav1.1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7.36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7.08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≈2.7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7.25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7.32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≈5.3*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Nav1.2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7.39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7.21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≈2.7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7.34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7.46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≈5.3*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Nav1.3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7.53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7.28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≈2.7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7.39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7.39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≈5.3*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Nav1.4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7.53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7.02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≈2.7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7.56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6.84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≈5.3*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Nav1.5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7.46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7.07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≈2.7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7.42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7.34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≈5.3*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Nav1.6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7.18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7.17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≈2.7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7.28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7.18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≈5.3*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Nav1.7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7.63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7.17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≈2.7</w:t>
            </w:r>
          </w:p>
        </w:tc>
        <w:tc>
          <w:tcPr>
            <w:tcW w:type="dxa" w:w="1440"/>
            <w:shd w:val="clear" w:color="auto" w:fill="F5F0F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9C02FA"/>
                <w:sz w:val="19"/>
              </w:rPr>
              <w:t>7.30◀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6.94</w:t>
            </w:r>
          </w:p>
        </w:tc>
        <w:tc>
          <w:tcPr>
            <w:tcW w:type="dxa" w:w="1440"/>
            <w:shd w:val="clear" w:color="auto" w:fill="F5F0F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9C02FA"/>
                <w:sz w:val="19"/>
              </w:rPr>
              <w:t>5.2*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Nav1.8</w:t>
            </w:r>
          </w:p>
        </w:tc>
        <w:tc>
          <w:tcPr>
            <w:tcW w:type="dxa" w:w="1440"/>
            <w:shd w:val="clear" w:color="auto" w:fill="F5F0F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9C02FA"/>
                <w:sz w:val="19"/>
              </w:rPr>
              <w:t>7.66◀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7.00</w:t>
            </w:r>
          </w:p>
        </w:tc>
        <w:tc>
          <w:tcPr>
            <w:tcW w:type="dxa" w:w="1440"/>
            <w:shd w:val="clear" w:color="auto" w:fill="F5F0FF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/>
                <w:color w:val="9C02FA"/>
                <w:sz w:val="19"/>
              </w:rPr>
              <w:t>7.2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7.48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7.25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≈5.3*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Poppins" w:hAnsi="Poppins"/>
                <w:b/>
                <w:color w:val="000000"/>
                <w:sz w:val="19"/>
              </w:rPr>
              <w:t>Nav1.9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7.22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7.27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≈2.7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000000"/>
                <w:sz w:val="19"/>
              </w:rPr>
              <w:t>7.30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7.18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Poppins" w:hAnsi="Poppins"/>
                <w:b w:val="0"/>
                <w:color w:val="404040"/>
                <w:sz w:val="19"/>
              </w:rPr>
              <w:t>≈5.3*</w:t>
            </w:r>
          </w:p>
        </w:tc>
      </w:tr>
    </w:tbl>
    <w:p>
      <w:pPr>
        <w:spacing w:after="160" w:before="80" w:line="269" w:lineRule="auto"/>
        <w:jc w:val="left"/>
      </w:pPr>
      <w:r>
        <w:rPr>
          <w:rFonts w:ascii="Poppins" w:hAnsi="Poppins"/>
          <w:b w:val="0"/>
          <w:i/>
          <w:color w:val="404040"/>
          <w:sz w:val="18"/>
        </w:rPr>
        <w:t>Full-length panel means rise +0.30 (suzetrigine) / +0.16 (vixotrigine) vs. truncated — the whole row shifts up together (inflation), moving the predictions further from, not closer to, the expected off-target values.</w:t>
      </w:r>
    </w:p>
    <w:p>
      <w:pPr>
        <w:spacing w:after="100" w:before="240" w:line="269" w:lineRule="auto"/>
        <w:jc w:val="left"/>
      </w:pPr>
      <w:r>
        <w:rPr>
          <w:rFonts w:ascii="Poppins" w:hAnsi="Poppins"/>
          <w:b/>
          <w:i w:val="0"/>
          <w:color w:val="000000"/>
          <w:sz w:val="28"/>
        </w:rPr>
        <w:t>Deviation from the known answer (full-length)</w:t>
      </w:r>
    </w:p>
    <w:p>
      <w:pPr>
        <w:spacing w:after="160" w:before="0" w:line="269" w:lineRule="auto"/>
        <w:jc w:val="both"/>
      </w:pPr>
      <w:r>
        <w:rPr>
          <w:rFonts w:ascii="Poppins" w:hAnsi="Poppins"/>
          <w:b/>
          <w:i w:val="0"/>
          <w:color w:val="000000"/>
          <w:sz w:val="22"/>
        </w:rPr>
        <w:t xml:space="preserve">Suzetrigine: </w:t>
      </w:r>
      <w:r>
        <w:rPr>
          <w:rFonts w:ascii="Poppins" w:hAnsi="Poppins"/>
          <w:b w:val="0"/>
          <w:i w:val="0"/>
          <w:color w:val="000000"/>
          <w:sz w:val="22"/>
        </w:rPr>
        <w:t xml:space="preserve">on-target Nav1.8 model 7.66 vs expected 7.2 (deviation </w:t>
      </w:r>
      <w:r>
        <w:rPr>
          <w:rFonts w:ascii="Poppins" w:hAnsi="Poppins"/>
          <w:b/>
          <w:i w:val="0"/>
          <w:color w:val="000000"/>
          <w:sz w:val="22"/>
        </w:rPr>
        <w:t>≈ +0.5 log</w:t>
      </w:r>
      <w:r>
        <w:rPr>
          <w:rFonts w:ascii="Poppins" w:hAnsi="Poppins"/>
          <w:b w:val="0"/>
          <w:i w:val="0"/>
          <w:color w:val="000000"/>
          <w:sz w:val="22"/>
        </w:rPr>
        <w:t xml:space="preserve">); off-targets model ~7.2–7.6 vs expected ≈2.7 (deviation </w:t>
      </w:r>
      <w:r>
        <w:rPr>
          <w:rFonts w:ascii="Poppins" w:hAnsi="Poppins"/>
          <w:b/>
          <w:i w:val="0"/>
          <w:color w:val="F51D3F"/>
          <w:sz w:val="22"/>
        </w:rPr>
        <w:t>≈ +4.5 to +4.9 log</w:t>
      </w:r>
      <w:r>
        <w:rPr>
          <w:rFonts w:ascii="Poppins" w:hAnsi="Poppins"/>
          <w:b w:val="0"/>
          <w:i w:val="0"/>
          <w:color w:val="000000"/>
          <w:sz w:val="22"/>
        </w:rPr>
        <w:t>). The selectivity window is still entirely absent. Vixotrigine: model ~7.3 (pKD) vs a functional pIC50 ~5.2–5.75 with no subtype selectivity — over-prediction of magnitude, and the state-dependence that defines the drug is unrepresentable by a static binder.</w:t>
      </w:r>
    </w:p>
    <w:p>
      <w:pPr>
        <w:spacing w:after="100" w:before="240" w:line="269" w:lineRule="auto"/>
        <w:jc w:val="left"/>
      </w:pPr>
      <w:r>
        <w:rPr>
          <w:rFonts w:ascii="Poppins" w:hAnsi="Poppins"/>
          <w:b/>
          <w:i w:val="0"/>
          <w:color w:val="000000"/>
          <w:sz w:val="28"/>
        </w:rPr>
        <w:t>Conclusion</w:t>
      </w:r>
    </w:p>
    <w:p>
      <w:pPr>
        <w:spacing w:after="160" w:before="0" w:line="269" w:lineRule="auto"/>
        <w:jc w:val="both"/>
      </w:pPr>
      <w:r>
        <w:rPr>
          <w:rFonts w:ascii="Poppins" w:hAnsi="Poppins"/>
          <w:b w:val="0"/>
          <w:i w:val="0"/>
          <w:color w:val="000000"/>
          <w:sz w:val="22"/>
        </w:rPr>
        <w:t>Removing the 1,250-aa truncation does not change the verdict: MAMMAL's off-the-shelf DTI head cannot reproduce Nav-subtype selectivity, and its predictions deviate from the measured pharmacology by ~4–5 log units at every off-target channel either way. Truncation is now a tested-and-excluded explanation. A real computational selectivity readout would require a Quiver-data fine-tune on the relevant binding-domain windows.</w:t>
      </w:r>
    </w:p>
    <w:p>
      <w:pPr>
        <w:spacing w:after="160" w:before="120" w:line="269" w:lineRule="auto"/>
        <w:jc w:val="left"/>
      </w:pPr>
      <w:r>
        <w:rPr>
          <w:rFonts w:ascii="Poppins" w:hAnsi="Poppins"/>
          <w:b/>
          <w:i w:val="0"/>
          <w:color w:val="404040"/>
          <w:sz w:val="19"/>
        </w:rPr>
        <w:t xml:space="preserve">Reproducibility:  </w:t>
      </w:r>
      <w:r>
        <w:rPr>
          <w:rFonts w:ascii="Consolas" w:hAnsi="Consolas"/>
          <w:b w:val="0"/>
          <w:i w:val="0"/>
          <w:color w:val="404040"/>
          <w:sz w:val="19"/>
        </w:rPr>
        <w:t>experiments/phase8b_nav_selectivity_fullseq.py</w:t>
      </w:r>
      <w:r>
        <w:rPr>
          <w:rFonts w:ascii="Poppins" w:hAnsi="Poppins"/>
          <w:b w:val="0"/>
          <w:i w:val="0"/>
          <w:color w:val="404040"/>
          <w:sz w:val="19"/>
        </w:rPr>
        <w:t xml:space="preserve">  ·  raw output </w:t>
      </w:r>
      <w:r>
        <w:rPr>
          <w:rFonts w:ascii="Consolas" w:hAnsi="Consolas"/>
          <w:b w:val="0"/>
          <w:i w:val="0"/>
          <w:color w:val="404040"/>
          <w:sz w:val="19"/>
        </w:rPr>
        <w:t>results/phase8b_nav_selectivity_fullseq_20260602_170713.json</w:t>
      </w:r>
      <w:r>
        <w:rPr>
          <w:rFonts w:ascii="Poppins" w:hAnsi="Poppins"/>
          <w:b w:val="0"/>
          <w:i w:val="0"/>
          <w:color w:val="404040"/>
          <w:sz w:val="19"/>
        </w:rPr>
        <w:t xml:space="preserve">  ·  writeup </w:t>
      </w:r>
      <w:r>
        <w:rPr>
          <w:rFonts w:ascii="Consolas" w:hAnsi="Consolas"/>
          <w:b w:val="0"/>
          <w:i w:val="0"/>
          <w:color w:val="404040"/>
          <w:sz w:val="19"/>
        </w:rPr>
        <w:t>results/phase8b_nav_selectivity_fullseq.md</w:t>
      </w:r>
      <w:r>
        <w:rPr>
          <w:rFonts w:ascii="Poppins" w:hAnsi="Poppins"/>
          <w:b w:val="0"/>
          <w:i w:val="0"/>
          <w:color w:val="404040"/>
          <w:sz w:val="19"/>
        </w:rPr>
        <w:t>.</w:t>
      </w:r>
    </w:p>
    <w:sectPr w:rsidR="003A2397" w:rsidRPr="00215C28" w:rsidSect="00EF00CE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FB841" w14:textId="77777777" w:rsidR="005B2DFC" w:rsidRDefault="005B2DFC" w:rsidP="0075656C">
      <w:r>
        <w:separator/>
      </w:r>
    </w:p>
  </w:endnote>
  <w:endnote w:type="continuationSeparator" w:id="0">
    <w:p w14:paraId="6F1BD485" w14:textId="77777777" w:rsidR="005B2DFC" w:rsidRDefault="005B2DFC" w:rsidP="00756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54BF3" w14:textId="77777777" w:rsidR="00974759" w:rsidRDefault="00E50376" w:rsidP="00974759">
    <w:pPr>
      <w:spacing w:line="276" w:lineRule="auto"/>
      <w:rPr>
        <w:rFonts w:ascii="Helvetica Light" w:hAnsi="Helvetica Light"/>
        <w:color w:val="404040" w:themeColor="text1" w:themeTint="BF"/>
        <w:sz w:val="20"/>
        <w:szCs w:val="20"/>
      </w:rPr>
    </w:pPr>
    <w:r w:rsidRPr="0075656C">
      <w:rPr>
        <w:rFonts w:ascii="Helvetica Light" w:hAnsi="Helvetica Light"/>
        <w:color w:val="404040" w:themeColor="text1" w:themeTint="BF"/>
        <w:sz w:val="20"/>
        <w:szCs w:val="20"/>
      </w:rPr>
      <w:t>1</w:t>
    </w:r>
    <w:r w:rsidR="00743F55">
      <w:rPr>
        <w:rFonts w:ascii="Helvetica Light" w:hAnsi="Helvetica Light"/>
        <w:color w:val="404040" w:themeColor="text1" w:themeTint="BF"/>
        <w:sz w:val="20"/>
        <w:szCs w:val="20"/>
      </w:rPr>
      <w:t xml:space="preserve">50 </w:t>
    </w:r>
    <w:proofErr w:type="spellStart"/>
    <w:r w:rsidR="00743F55">
      <w:rPr>
        <w:rFonts w:ascii="Helvetica Light" w:hAnsi="Helvetica Light"/>
        <w:color w:val="404040" w:themeColor="text1" w:themeTint="BF"/>
        <w:sz w:val="20"/>
        <w:szCs w:val="20"/>
      </w:rPr>
      <w:t>CambridgePark</w:t>
    </w:r>
    <w:proofErr w:type="spellEnd"/>
    <w:r w:rsidR="00743F55">
      <w:rPr>
        <w:rFonts w:ascii="Helvetica Light" w:hAnsi="Helvetica Light"/>
        <w:color w:val="404040" w:themeColor="text1" w:themeTint="BF"/>
        <w:sz w:val="20"/>
        <w:szCs w:val="20"/>
      </w:rPr>
      <w:t xml:space="preserve"> Drive</w:t>
    </w:r>
    <w:r w:rsidR="00974759">
      <w:rPr>
        <w:rFonts w:ascii="Helvetica Light" w:hAnsi="Helvetica Light"/>
        <w:color w:val="404040" w:themeColor="text1" w:themeTint="BF"/>
        <w:sz w:val="20"/>
        <w:szCs w:val="20"/>
      </w:rPr>
      <w:t xml:space="preserve">, </w:t>
    </w:r>
    <w:r w:rsidR="00974759" w:rsidRPr="0075656C">
      <w:rPr>
        <w:rFonts w:ascii="Helvetica Light" w:hAnsi="Helvetica Light"/>
        <w:color w:val="404040" w:themeColor="text1" w:themeTint="BF"/>
        <w:sz w:val="20"/>
        <w:szCs w:val="20"/>
      </w:rPr>
      <w:t>Cambridge, MA 021</w:t>
    </w:r>
    <w:r w:rsidR="00974759">
      <w:rPr>
        <w:rFonts w:ascii="Helvetica Light" w:hAnsi="Helvetica Light"/>
        <w:color w:val="404040" w:themeColor="text1" w:themeTint="BF"/>
        <w:sz w:val="20"/>
        <w:szCs w:val="20"/>
      </w:rPr>
      <w:t xml:space="preserve">40  </w:t>
    </w:r>
  </w:p>
  <w:p w14:paraId="6CD4313A" w14:textId="189F6662" w:rsidR="0075656C" w:rsidRPr="00974759" w:rsidRDefault="00974759" w:rsidP="00974759">
    <w:pPr>
      <w:spacing w:line="276" w:lineRule="auto"/>
      <w:rPr>
        <w:rFonts w:ascii="Helvetica Light" w:hAnsi="Helvetica Light"/>
        <w:color w:val="404040" w:themeColor="text1" w:themeTint="BF"/>
        <w:sz w:val="20"/>
        <w:szCs w:val="20"/>
      </w:rPr>
    </w:pPr>
    <w:r>
      <w:rPr>
        <w:rFonts w:ascii="Helvetica Light" w:hAnsi="Helvetica Light"/>
        <w:color w:val="404040" w:themeColor="text1" w:themeTint="BF"/>
        <w:sz w:val="20"/>
        <w:szCs w:val="20"/>
      </w:rPr>
      <w:t>P. (617) 396-3611</w:t>
    </w:r>
    <w:r w:rsidR="00530F1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3B3BC8" wp14:editId="2B9B101A">
              <wp:simplePos x="0" y="0"/>
              <wp:positionH relativeFrom="column">
                <wp:posOffset>-924674</wp:posOffset>
              </wp:positionH>
              <wp:positionV relativeFrom="paragraph">
                <wp:posOffset>489114</wp:posOffset>
              </wp:positionV>
              <wp:extent cx="7778839" cy="155526"/>
              <wp:effectExtent l="0" t="0" r="6350" b="0"/>
              <wp:wrapNone/>
              <wp:docPr id="1724742228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839" cy="155526"/>
                      </a:xfrm>
                      <a:prstGeom prst="rect">
                        <a:avLst/>
                      </a:prstGeom>
                      <a:solidFill>
                        <a:srgbClr val="A105D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70F352" id="Rectangle 5" o:spid="_x0000_s1026" style="position:absolute;margin-left:-72.8pt;margin-top:38.5pt;width:612.5pt;height:12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" fillcolor="#a105dd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72535" w14:textId="77777777" w:rsidR="005B2DFC" w:rsidRDefault="005B2DFC" w:rsidP="0075656C">
      <w:r>
        <w:separator/>
      </w:r>
    </w:p>
  </w:footnote>
  <w:footnote w:type="continuationSeparator" w:id="0">
    <w:p w14:paraId="623D007A" w14:textId="77777777" w:rsidR="005B2DFC" w:rsidRDefault="005B2DFC" w:rsidP="00756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05F1" w14:textId="4A86C10F" w:rsidR="00530F14" w:rsidRDefault="0075656C" w:rsidP="00E50376">
    <w:pPr>
      <w:spacing w:line="276" w:lineRule="auto"/>
      <w:rPr>
        <w:rFonts w:ascii="Helvetica Light" w:hAnsi="Helvetica Light"/>
        <w:color w:val="404040" w:themeColor="text1" w:themeTint="BF"/>
        <w:sz w:val="20"/>
        <w:szCs w:val="20"/>
      </w:rPr>
    </w:pPr>
    <w:r>
      <w:rPr>
        <w:noProof/>
      </w:rPr>
      <w:drawing>
        <wp:inline distT="0" distB="0" distL="0" distR="0" wp14:anchorId="2A0E00FB" wp14:editId="44470614">
          <wp:extent cx="2936573" cy="257578"/>
          <wp:effectExtent l="0" t="0" r="0" b="0"/>
          <wp:docPr id="199108493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084932" name="Picture 19910849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8827" cy="3604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Helvetica Light" w:hAnsi="Helvetica Light"/>
        <w:color w:val="404040" w:themeColor="text1" w:themeTint="BF"/>
        <w:sz w:val="22"/>
        <w:szCs w:val="22"/>
      </w:rPr>
      <w:t xml:space="preserve">                                                   </w:t>
    </w:r>
  </w:p>
  <w:p w14:paraId="3EF5F7BD" w14:textId="77777777" w:rsidR="00530F14" w:rsidRDefault="00530F14" w:rsidP="00530F14">
    <w:pPr>
      <w:spacing w:line="276" w:lineRule="auto"/>
      <w:jc w:val="right"/>
      <w:rPr>
        <w:rFonts w:ascii="Helvetica Light" w:hAnsi="Helvetica Light"/>
        <w:color w:val="404040" w:themeColor="text1" w:themeTint="BF"/>
        <w:sz w:val="20"/>
        <w:szCs w:val="20"/>
      </w:rPr>
    </w:pPr>
  </w:p>
  <w:p w14:paraId="7F7B85C7" w14:textId="0AD8EC82" w:rsidR="0075656C" w:rsidRPr="00530F14" w:rsidRDefault="00530F14" w:rsidP="00530F14">
    <w:pPr>
      <w:spacing w:line="276" w:lineRule="auto"/>
      <w:jc w:val="right"/>
      <w:rPr>
        <w:rFonts w:ascii="Helvetica Light" w:hAnsi="Helvetica Light"/>
        <w:color w:val="404040" w:themeColor="text1" w:themeTint="BF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6BD9A2" wp14:editId="1EF583AB">
              <wp:simplePos x="0" y="0"/>
              <wp:positionH relativeFrom="column">
                <wp:posOffset>-920932</wp:posOffset>
              </wp:positionH>
              <wp:positionV relativeFrom="paragraph">
                <wp:posOffset>118564</wp:posOffset>
              </wp:positionV>
              <wp:extent cx="8007531" cy="0"/>
              <wp:effectExtent l="0" t="0" r="6350" b="12700"/>
              <wp:wrapNone/>
              <wp:docPr id="70473368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0753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E97190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2.5pt,9.35pt" to="558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" strokecolor="#a5a5a5 [3206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50ED0"/>
    <w:multiLevelType w:val="multilevel"/>
    <w:tmpl w:val="DAB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B217C"/>
    <w:multiLevelType w:val="multilevel"/>
    <w:tmpl w:val="855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36904"/>
    <w:multiLevelType w:val="multilevel"/>
    <w:tmpl w:val="12F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317281">
    <w:abstractNumId w:val="1"/>
  </w:num>
  <w:num w:numId="2" w16cid:durableId="775096499">
    <w:abstractNumId w:val="0"/>
  </w:num>
  <w:num w:numId="3" w16cid:durableId="1071737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C"/>
    <w:rsid w:val="000666C2"/>
    <w:rsid w:val="000A77C9"/>
    <w:rsid w:val="00147767"/>
    <w:rsid w:val="001502D2"/>
    <w:rsid w:val="00187877"/>
    <w:rsid w:val="001E4C1F"/>
    <w:rsid w:val="001F4D5E"/>
    <w:rsid w:val="00214613"/>
    <w:rsid w:val="00215C28"/>
    <w:rsid w:val="00242769"/>
    <w:rsid w:val="002504D0"/>
    <w:rsid w:val="0027076D"/>
    <w:rsid w:val="002E2306"/>
    <w:rsid w:val="002E4600"/>
    <w:rsid w:val="003141A6"/>
    <w:rsid w:val="00320EDE"/>
    <w:rsid w:val="0033349E"/>
    <w:rsid w:val="003A2397"/>
    <w:rsid w:val="003B241D"/>
    <w:rsid w:val="004007A5"/>
    <w:rsid w:val="00442565"/>
    <w:rsid w:val="00480D83"/>
    <w:rsid w:val="004A433B"/>
    <w:rsid w:val="004A4C3B"/>
    <w:rsid w:val="004C6C65"/>
    <w:rsid w:val="00505623"/>
    <w:rsid w:val="0050759D"/>
    <w:rsid w:val="00530F14"/>
    <w:rsid w:val="00562C82"/>
    <w:rsid w:val="00577711"/>
    <w:rsid w:val="00592A87"/>
    <w:rsid w:val="00594466"/>
    <w:rsid w:val="005B2DFC"/>
    <w:rsid w:val="005B429B"/>
    <w:rsid w:val="006026C5"/>
    <w:rsid w:val="00613932"/>
    <w:rsid w:val="006532AA"/>
    <w:rsid w:val="00663115"/>
    <w:rsid w:val="006745BE"/>
    <w:rsid w:val="00690018"/>
    <w:rsid w:val="0070386A"/>
    <w:rsid w:val="00733D2A"/>
    <w:rsid w:val="00743F55"/>
    <w:rsid w:val="0075656C"/>
    <w:rsid w:val="00760424"/>
    <w:rsid w:val="007A74FC"/>
    <w:rsid w:val="007A7895"/>
    <w:rsid w:val="007E32B8"/>
    <w:rsid w:val="007E5DF2"/>
    <w:rsid w:val="00802EE6"/>
    <w:rsid w:val="00871BCC"/>
    <w:rsid w:val="008B603F"/>
    <w:rsid w:val="008C27DB"/>
    <w:rsid w:val="008C595A"/>
    <w:rsid w:val="00962542"/>
    <w:rsid w:val="00962ECD"/>
    <w:rsid w:val="00974759"/>
    <w:rsid w:val="00A54CC5"/>
    <w:rsid w:val="00A705AC"/>
    <w:rsid w:val="00AC4C3E"/>
    <w:rsid w:val="00AF6425"/>
    <w:rsid w:val="00B51805"/>
    <w:rsid w:val="00B7331E"/>
    <w:rsid w:val="00B855B8"/>
    <w:rsid w:val="00C01F18"/>
    <w:rsid w:val="00C04984"/>
    <w:rsid w:val="00C51D83"/>
    <w:rsid w:val="00C8049D"/>
    <w:rsid w:val="00CB79D6"/>
    <w:rsid w:val="00CF7DBB"/>
    <w:rsid w:val="00D12659"/>
    <w:rsid w:val="00D26029"/>
    <w:rsid w:val="00D363AD"/>
    <w:rsid w:val="00D52CB7"/>
    <w:rsid w:val="00D642F3"/>
    <w:rsid w:val="00D900E4"/>
    <w:rsid w:val="00DF21C9"/>
    <w:rsid w:val="00E01B98"/>
    <w:rsid w:val="00E10A42"/>
    <w:rsid w:val="00E50376"/>
    <w:rsid w:val="00E8651D"/>
    <w:rsid w:val="00EA0FB1"/>
    <w:rsid w:val="00ED675C"/>
    <w:rsid w:val="00EF00CE"/>
    <w:rsid w:val="00EF7F82"/>
    <w:rsid w:val="00F063B0"/>
    <w:rsid w:val="00F06D53"/>
    <w:rsid w:val="00F43625"/>
    <w:rsid w:val="00F54D48"/>
    <w:rsid w:val="00F66F13"/>
    <w:rsid w:val="00FC1959"/>
    <w:rsid w:val="00FC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E306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656C"/>
  </w:style>
  <w:style w:type="paragraph" w:styleId="Footer">
    <w:name w:val="footer"/>
    <w:basedOn w:val="Normal"/>
    <w:link w:val="FooterChar"/>
    <w:uiPriority w:val="99"/>
    <w:unhideWhenUsed/>
    <w:rsid w:val="007565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656C"/>
  </w:style>
  <w:style w:type="paragraph" w:styleId="BalloonText">
    <w:name w:val="Balloon Text"/>
    <w:basedOn w:val="Normal"/>
    <w:link w:val="BalloonTextChar"/>
    <w:uiPriority w:val="99"/>
    <w:semiHidden/>
    <w:unhideWhenUsed/>
    <w:rsid w:val="00E5037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376"/>
    <w:rPr>
      <w:rFonts w:ascii="Times New Roman" w:hAnsi="Times New Roman" w:cs="Times New Roman"/>
      <w:sz w:val="18"/>
      <w:szCs w:val="18"/>
    </w:rPr>
  </w:style>
  <w:style w:type="paragraph" w:customStyle="1" w:styleId="Normal1">
    <w:name w:val="Normal1"/>
    <w:rsid w:val="004A4C3B"/>
    <w:pPr>
      <w:pBdr>
        <w:top w:val="nil"/>
        <w:left w:val="nil"/>
        <w:bottom w:val="nil"/>
        <w:right w:val="nil"/>
        <w:between w:val="nil"/>
      </w:pBdr>
    </w:pPr>
    <w:rPr>
      <w:rFonts w:ascii="Cambria" w:eastAsia="Cambria" w:hAnsi="Cambria" w:cs="Cambria"/>
      <w:color w:val="000000"/>
    </w:rPr>
  </w:style>
  <w:style w:type="paragraph" w:customStyle="1" w:styleId="paragraph">
    <w:name w:val="paragraph"/>
    <w:basedOn w:val="Normal"/>
    <w:rsid w:val="004A4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0759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147767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table" w:styleId="TableGrid">
    <w:name w:val="Table Grid"/>
    <w:basedOn w:val="TableNormal"/>
    <w:uiPriority w:val="39"/>
    <w:rsid w:val="00147767"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0CEA5F-07FC-C846-8BB9-DDE2D820E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Choi</dc:creator>
  <cp:keywords/>
  <dc:description/>
  <cp:lastModifiedBy>Noelle Germain</cp:lastModifiedBy>
  <cp:revision>2</cp:revision>
  <dcterms:created xsi:type="dcterms:W3CDTF">2025-08-27T20:18:00Z</dcterms:created>
  <dcterms:modified xsi:type="dcterms:W3CDTF">2025-08-27T20:18:00Z</dcterms:modified>
</cp:coreProperties>
</file>