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rFonts w:ascii="Arial" w:cs="Arial" w:eastAsia="Arial" w:hAnsi="Arial"/>
          <w:b/>
          <w:bCs/>
          <w:sz w:val="32"/>
          <w:szCs w:val="32"/>
        </w:rPr>
        <w:t xml:space="preserve">Sapphire AI Platform: 100 Prompts for the Quiver-Angelini Common Nodes Collaboration Dataset</w:t>
      </w:r>
    </w:p>
    <w:p>
      <w:pPr>
        <w:spacing w:after="200"/>
      </w:pPr>
      <w:r>
        <w:rPr>
          <w:rFonts w:ascii="Arial" w:cs="Arial" w:eastAsia="Arial" w:hAnsi="Arial"/>
          <w:i/>
          <w:iCs/>
          <w:sz w:val="24"/>
          <w:szCs w:val="24"/>
        </w:rPr>
        <w:t xml:space="preserve">Treating Many Genetic Epilepsies through the Identification of Druggable Common Nodes</w:t>
      </w:r>
    </w:p>
    <w:p>
      <w:pPr>
        <w:spacing w:after="300"/>
      </w:pPr>
      <w:r>
        <w:rPr>
          <w:rFonts w:ascii="Arial" w:cs="Arial" w:eastAsia="Arial" w:hAnsi="Arial"/>
          <w:sz w:val="24"/>
          <w:szCs w:val="24"/>
        </w:rPr>
        <w:t xml:space="preserve">These 100 prompts are designed for querying the Sapphire GraphDB with data generated from the Quiver-Angelini collaboration, including CRISPRn loss-of-function screening of 131 DEE genes, Optopatch functional fingerprints, RNA-seq transcriptomic signatures, compound screening results, and target deconvolution data. Each prompt is intended to be executed through the Sapphire 6-stage pipeline workflow.</w:t>
      </w:r>
    </w:p>
    <w:p>
      <w:pPr>
        <w:pStyle w:val="Heading2"/>
      </w:pPr>
      <w:r>
        <w:rPr>
          <w:rFonts w:ascii="Arial" w:cs="Arial" w:eastAsia="Arial" w:hAnsi="Arial"/>
          <w:b/>
          <w:bCs/>
          <w:sz w:val="28"/>
          <w:szCs w:val="28"/>
        </w:rPr>
        <w:t xml:space="preserve">Section 1: DEE Gene Functional Screening &amp; Characterization</w:t>
      </w:r>
    </w:p>
    <w:p>
      <w:pPr>
        <w:pStyle w:val="ListParagraph"/>
        <w:numPr>
          <w:ilvl w:val="0"/>
          <w:numId w:val="2"/>
        </w:numPr>
        <w:spacing w:after="160"/>
      </w:pPr>
      <w:r>
        <w:rPr>
          <w:rFonts w:ascii="Arial" w:cs="Arial" w:eastAsia="Arial" w:hAnsi="Arial"/>
          <w:sz w:val="24"/>
          <w:szCs w:val="24"/>
        </w:rPr>
        <w:t xml:space="preserve">1. Retrieve the complete list of 131 DEE genes screened in the Quiver-Angelini CRISPRn loss-of-function study and cross-reference each gene with its known clinical epilepsy syndrome, inheritance pattern, and protein function from OMIM, ClinVar, and UniProt.</w:t>
      </w:r>
    </w:p>
    <w:p>
      <w:pPr>
        <w:pStyle w:val="ListParagraph"/>
        <w:numPr>
          <w:ilvl w:val="0"/>
          <w:numId w:val="2"/>
        </w:numPr>
        <w:spacing w:after="160"/>
      </w:pPr>
      <w:r>
        <w:rPr>
          <w:rFonts w:ascii="Arial" w:cs="Arial" w:eastAsia="Arial" w:hAnsi="Arial"/>
          <w:sz w:val="24"/>
          <w:szCs w:val="24"/>
        </w:rPr>
        <w:t xml:space="preserve">2. For each of the 131 DEE genes, extract the Optopatch-derived functional excitability fingerprint from the Angelini dataset and rank genes by magnitude of deviation from wild-type neuronal firing parameters (action potential frequency, amplitude, and waveform kinetics).</w:t>
      </w:r>
    </w:p>
    <w:p>
      <w:pPr>
        <w:pStyle w:val="ListParagraph"/>
        <w:numPr>
          <w:ilvl w:val="0"/>
          <w:numId w:val="2"/>
        </w:numPr>
        <w:spacing w:after="160"/>
      </w:pPr>
      <w:r>
        <w:rPr>
          <w:rFonts w:ascii="Arial" w:cs="Arial" w:eastAsia="Arial" w:hAnsi="Arial"/>
          <w:sz w:val="24"/>
          <w:szCs w:val="24"/>
        </w:rPr>
        <w:t xml:space="preserve">3. Identify which DEE genes in the Angelini screen produced a gain-of-function hyperexcitability phenotype versus a loss-of-function hypoexcitability phenotype in NGN2-derived cortical excitatory neurons, and compare these functional classifications to predictions from gnomAD constraint metrics and known channelopathy mechanisms.</w:t>
      </w:r>
    </w:p>
    <w:p>
      <w:pPr>
        <w:pStyle w:val="ListParagraph"/>
        <w:numPr>
          <w:ilvl w:val="0"/>
          <w:numId w:val="2"/>
        </w:numPr>
        <w:spacing w:after="160"/>
      </w:pPr>
      <w:r>
        <w:rPr>
          <w:rFonts w:ascii="Arial" w:cs="Arial" w:eastAsia="Arial" w:hAnsi="Arial"/>
          <w:sz w:val="24"/>
          <w:szCs w:val="24"/>
        </w:rPr>
        <w:t xml:space="preserve">4. Query the Angelini Optopatch dataset for DEE genes whose knockout produces no detectable change in neuronal excitability relative to non-targeting controls and cross-reference these with single-cell RNA-seq databases (Allen Brain Atlas, Human Cell Atlas) to determine whether these genes are expressed in NGN2 excitatory neurons.</w:t>
      </w:r>
    </w:p>
    <w:p>
      <w:pPr>
        <w:pStyle w:val="ListParagraph"/>
        <w:numPr>
          <w:ilvl w:val="0"/>
          <w:numId w:val="2"/>
        </w:numPr>
        <w:spacing w:after="160"/>
      </w:pPr>
      <w:r>
        <w:rPr>
          <w:rFonts w:ascii="Arial" w:cs="Arial" w:eastAsia="Arial" w:hAnsi="Arial"/>
          <w:sz w:val="24"/>
          <w:szCs w:val="24"/>
        </w:rPr>
        <w:t xml:space="preserve">5. Extract the full set of electrophysiological parameters measured by Optopatch for the CRISPRn screen of 131 DEE genes (e.g., spike rate, spike amplitude, resting membrane potential proxy, rheobase, afterhyperpolarization) and generate a principal component analysis of the functional fingerprint space.</w:t>
      </w:r>
    </w:p>
    <w:p>
      <w:pPr>
        <w:pStyle w:val="ListParagraph"/>
        <w:numPr>
          <w:ilvl w:val="0"/>
          <w:numId w:val="2"/>
        </w:numPr>
        <w:spacing w:after="160"/>
      </w:pPr>
      <w:r>
        <w:rPr>
          <w:rFonts w:ascii="Arial" w:cs="Arial" w:eastAsia="Arial" w:hAnsi="Arial"/>
          <w:sz w:val="24"/>
          <w:szCs w:val="24"/>
        </w:rPr>
        <w:t xml:space="preserve">6. Compare the Optopatch functional fingerprints of CDKL5 and MECP2 knockouts from the Angelini dataset with published electrophysiology data for these genes in patient-derived iPSC neurons, mouse models, and heterologous expression systems to assess concordance of phenotypic direction and magnitude.</w:t>
      </w:r>
    </w:p>
    <w:p>
      <w:pPr>
        <w:pStyle w:val="ListParagraph"/>
        <w:numPr>
          <w:ilvl w:val="0"/>
          <w:numId w:val="2"/>
        </w:numPr>
        <w:spacing w:after="160"/>
      </w:pPr>
      <w:r>
        <w:rPr>
          <w:rFonts w:ascii="Arial" w:cs="Arial" w:eastAsia="Arial" w:hAnsi="Arial"/>
          <w:sz w:val="24"/>
          <w:szCs w:val="24"/>
        </w:rPr>
        <w:t xml:space="preserve">7. Using the Angelini CRISPRn screening data, identify DEE genes whose loss-of-function produces statistically significant changes in action potential waveform morphology (e.g., spike width, rise time, decay kinetics) and map these to specific ion channel subtypes and auxiliary subunits using GO molecular function annotations.</w:t>
      </w:r>
    </w:p>
    <w:p>
      <w:pPr>
        <w:pStyle w:val="ListParagraph"/>
        <w:numPr>
          <w:ilvl w:val="0"/>
          <w:numId w:val="2"/>
        </w:numPr>
        <w:spacing w:after="160"/>
      </w:pPr>
      <w:r>
        <w:rPr>
          <w:rFonts w:ascii="Arial" w:cs="Arial" w:eastAsia="Arial" w:hAnsi="Arial"/>
          <w:sz w:val="24"/>
          <w:szCs w:val="24"/>
        </w:rPr>
        <w:t xml:space="preserve">8. Query the Angelini dataset for all DEE gene knockouts that significantly alter spontaneous firing frequency in NGN2 neurons and cross-reference with the IUPHAR/BPS Guide to Pharmacology to identify which of these targets have existing pharmacological modulators (agonists, antagonists, or allosteric modulators).</w:t>
      </w:r>
    </w:p>
    <w:p>
      <w:pPr>
        <w:pStyle w:val="ListParagraph"/>
        <w:numPr>
          <w:ilvl w:val="0"/>
          <w:numId w:val="2"/>
        </w:numPr>
        <w:spacing w:after="160"/>
      </w:pPr>
      <w:r>
        <w:rPr>
          <w:rFonts w:ascii="Arial" w:cs="Arial" w:eastAsia="Arial" w:hAnsi="Arial"/>
          <w:sz w:val="24"/>
          <w:szCs w:val="24"/>
        </w:rPr>
        <w:t xml:space="preserve">9. For the subset of DEE genes encoding ion channels in the Angelini screen, extract their Optopatch fingerprints and compare intra-family phenotypic similarity (e.g., SCN family sodium channels vs. KCNQ family potassium channels) to determine whether related channel genes cluster together functionally.</w:t>
      </w:r>
    </w:p>
    <w:p>
      <w:pPr>
        <w:pStyle w:val="ListParagraph"/>
        <w:numPr>
          <w:ilvl w:val="0"/>
          <w:numId w:val="2"/>
        </w:numPr>
        <w:spacing w:after="160"/>
      </w:pPr>
      <w:r>
        <w:rPr>
          <w:rFonts w:ascii="Arial" w:cs="Arial" w:eastAsia="Arial" w:hAnsi="Arial"/>
          <w:sz w:val="24"/>
          <w:szCs w:val="24"/>
        </w:rPr>
        <w:t xml:space="preserve">10. Retrieve the quality control metrics from the Angelini CRISPRn screen (guide RNA knockdown efficiency, cell viability post-transduction, Z-prime scores, coefficient of variation across replicate wells) and flag any genes where data quality concerns may limit interpretation of functional phenotypes.</w:t>
      </w:r>
    </w:p>
    <w:p>
      <w:pPr>
        <w:pStyle w:val="ListParagraph"/>
        <w:numPr>
          <w:ilvl w:val="0"/>
          <w:numId w:val="2"/>
        </w:numPr>
        <w:spacing w:after="160"/>
      </w:pPr>
      <w:r>
        <w:rPr>
          <w:rFonts w:ascii="Arial" w:cs="Arial" w:eastAsia="Arial" w:hAnsi="Arial"/>
          <w:sz w:val="24"/>
          <w:szCs w:val="24"/>
        </w:rPr>
        <w:t xml:space="preserve">11. Using the Angelini dataset, identify DEE genes whose CRISPRn knockout phenotype shows dose-dependent effects by comparing heterozygous versus homozygous knockdown efficiency levels (if available from guide RNA titration data) with corresponding changes in Optopatch excitability parameters.</w:t>
      </w:r>
    </w:p>
    <w:p>
      <w:pPr>
        <w:pStyle w:val="ListParagraph"/>
        <w:numPr>
          <w:ilvl w:val="0"/>
          <w:numId w:val="2"/>
        </w:numPr>
        <w:spacing w:after="160"/>
      </w:pPr>
      <w:r>
        <w:rPr>
          <w:rFonts w:ascii="Arial" w:cs="Arial" w:eastAsia="Arial" w:hAnsi="Arial"/>
          <w:sz w:val="24"/>
          <w:szCs w:val="24"/>
        </w:rPr>
        <w:t xml:space="preserve">12. Cross-reference the 131 DEE genes from the Angelini screen with the Human Protein Atlas subcellular localization data to categorize genes by protein localization (membrane, cytoplasmic, nuclear, synaptic) and determine whether subcellular compartment predicts the direction or magnitude of Optopatch phenotype.</w:t>
      </w:r>
    </w:p>
    <w:p>
      <w:pPr>
        <w:pStyle w:val="ListParagraph"/>
        <w:numPr>
          <w:ilvl w:val="0"/>
          <w:numId w:val="2"/>
        </w:numPr>
        <w:spacing w:after="160"/>
      </w:pPr>
      <w:r>
        <w:rPr>
          <w:rFonts w:ascii="Arial" w:cs="Arial" w:eastAsia="Arial" w:hAnsi="Arial"/>
          <w:sz w:val="24"/>
          <w:szCs w:val="24"/>
        </w:rPr>
        <w:t xml:space="preserve">13. Extract temporal dynamics data from the Angelini Optopatch recordings to identify DEE gene knockouts that alter neuronal maturation trajectories, comparing early versus late time-point excitability measurements to detect genes affecting developmental timing of functional properties.</w:t>
      </w:r>
    </w:p>
    <w:p>
      <w:pPr>
        <w:pStyle w:val="ListParagraph"/>
        <w:numPr>
          <w:ilvl w:val="0"/>
          <w:numId w:val="2"/>
        </w:numPr>
        <w:spacing w:after="160"/>
      </w:pPr>
      <w:r>
        <w:rPr>
          <w:rFonts w:ascii="Arial" w:cs="Arial" w:eastAsia="Arial" w:hAnsi="Arial"/>
          <w:sz w:val="24"/>
          <w:szCs w:val="24"/>
        </w:rPr>
        <w:t xml:space="preserve">14. Query the Angelini dataset for DEE genes whose knockout produces complex or biphasic excitability phenotypes (e.g., increased spike frequency but decreased spike amplitude) and analyze whether these multi-parameter signatures suggest convergent effects on multiple ion conductances.</w:t>
      </w:r>
    </w:p>
    <w:p>
      <w:pPr>
        <w:pStyle w:val="ListParagraph"/>
        <w:numPr>
          <w:ilvl w:val="0"/>
          <w:numId w:val="2"/>
        </w:numPr>
        <w:spacing w:after="160"/>
      </w:pPr>
      <w:r>
        <w:rPr>
          <w:rFonts w:ascii="Arial" w:cs="Arial" w:eastAsia="Arial" w:hAnsi="Arial"/>
          <w:sz w:val="24"/>
          <w:szCs w:val="24"/>
        </w:rPr>
        <w:t xml:space="preserve">15. Using the Angelini Optopatch data, calculate the reproducibility (inter-well and inter-plate concordance) of functional fingerprints for each of the 131 DEE gene knockouts and identify which genes produce the most robust and reproducible phenotypic signatures suitable for downstream drug screening.</w:t>
      </w:r>
    </w:p>
    <w:p>
      <w:pPr>
        <w:pStyle w:val="Heading2"/>
      </w:pPr>
      <w:r>
        <w:rPr>
          <w:rFonts w:ascii="Arial" w:cs="Arial" w:eastAsia="Arial" w:hAnsi="Arial"/>
          <w:b/>
          <w:bCs/>
          <w:sz w:val="28"/>
          <w:szCs w:val="28"/>
        </w:rPr>
        <w:t xml:space="preserve">Section 2: Functional Clustering &amp; Common Node Identification</w:t>
      </w:r>
    </w:p>
    <w:p>
      <w:pPr>
        <w:pStyle w:val="ListParagraph"/>
        <w:numPr>
          <w:ilvl w:val="0"/>
          <w:numId w:val="2"/>
        </w:numPr>
        <w:spacing w:after="160"/>
      </w:pPr>
      <w:r>
        <w:rPr>
          <w:rFonts w:ascii="Arial" w:cs="Arial" w:eastAsia="Arial" w:hAnsi="Arial"/>
          <w:sz w:val="24"/>
          <w:szCs w:val="24"/>
        </w:rPr>
        <w:t xml:space="preserve">16. Apply hierarchical clustering to the Optopatch functional fingerprints of all 131 DEE gene knockouts from the Angelini dataset and identify the optimal number of functional clusters using silhouette analysis, gap statistic, and biological interpretability criteria.</w:t>
      </w:r>
    </w:p>
    <w:p>
      <w:pPr>
        <w:pStyle w:val="ListParagraph"/>
        <w:numPr>
          <w:ilvl w:val="0"/>
          <w:numId w:val="2"/>
        </w:numPr>
        <w:spacing w:after="160"/>
      </w:pPr>
      <w:r>
        <w:rPr>
          <w:rFonts w:ascii="Arial" w:cs="Arial" w:eastAsia="Arial" w:hAnsi="Arial"/>
          <w:sz w:val="24"/>
          <w:szCs w:val="24"/>
        </w:rPr>
        <w:t xml:space="preserve">17. For each functional cluster identified in the Angelini DEE gene screen, determine whether cluster membership correlates with clinical epilepsy syndrome classification (e.g., Dravet syndrome, West syndrome, Lennox-Gastaut syndrome) using phenotype data from OMIM and Orphanet.</w:t>
      </w:r>
    </w:p>
    <w:p>
      <w:pPr>
        <w:pStyle w:val="ListParagraph"/>
        <w:numPr>
          <w:ilvl w:val="0"/>
          <w:numId w:val="2"/>
        </w:numPr>
        <w:spacing w:after="160"/>
      </w:pPr>
      <w:r>
        <w:rPr>
          <w:rFonts w:ascii="Arial" w:cs="Arial" w:eastAsia="Arial" w:hAnsi="Arial"/>
          <w:sz w:val="24"/>
          <w:szCs w:val="24"/>
        </w:rPr>
        <w:t xml:space="preserve">18. Identify the 'common nodes' — shared cellular excitability phenotypes — that define each functional cluster in the Angelini dataset and characterize each node by its signature combination of Optopatch parameters (firing rate, waveform shape, excitability threshold, adaptation).</w:t>
      </w:r>
    </w:p>
    <w:p>
      <w:pPr>
        <w:pStyle w:val="ListParagraph"/>
        <w:numPr>
          <w:ilvl w:val="0"/>
          <w:numId w:val="2"/>
        </w:numPr>
        <w:spacing w:after="160"/>
      </w:pPr>
      <w:r>
        <w:rPr>
          <w:rFonts w:ascii="Arial" w:cs="Arial" w:eastAsia="Arial" w:hAnsi="Arial"/>
          <w:sz w:val="24"/>
          <w:szCs w:val="24"/>
        </w:rPr>
        <w:t xml:space="preserve">19. Query whether the functional clusters identified from the Angelini Optopatch screen correspond to known molecular pathway groupings by mapping each cluster's genes to KEGG, Reactome, and Gene Ontology Biological Process pathways and performing enrichment analysis.</w:t>
      </w:r>
    </w:p>
    <w:p>
      <w:pPr>
        <w:pStyle w:val="ListParagraph"/>
        <w:numPr>
          <w:ilvl w:val="0"/>
          <w:numId w:val="2"/>
        </w:numPr>
        <w:spacing w:after="160"/>
      </w:pPr>
      <w:r>
        <w:rPr>
          <w:rFonts w:ascii="Arial" w:cs="Arial" w:eastAsia="Arial" w:hAnsi="Arial"/>
          <w:sz w:val="24"/>
          <w:szCs w:val="24"/>
        </w:rPr>
        <w:t xml:space="preserve">20. For each common node/functional cluster from the Angelini data, retrieve all known protein-protein interactions among the member genes from STRING, BioGRID, and IntAct to determine whether functionally clustered genes are also physically interacting or in the same signaling complexes.</w:t>
      </w:r>
    </w:p>
    <w:p>
      <w:pPr>
        <w:pStyle w:val="ListParagraph"/>
        <w:numPr>
          <w:ilvl w:val="0"/>
          <w:numId w:val="2"/>
        </w:numPr>
        <w:spacing w:after="160"/>
      </w:pPr>
      <w:r>
        <w:rPr>
          <w:rFonts w:ascii="Arial" w:cs="Arial" w:eastAsia="Arial" w:hAnsi="Arial"/>
          <w:sz w:val="24"/>
          <w:szCs w:val="24"/>
        </w:rPr>
        <w:t xml:space="preserve">21. Using the Angelini functional cluster assignments, identify DEE genes that are 'bridge genes' — genes whose functional fingerprints place them at the boundary between two or more clusters — and assess whether these genes participate in multiple signaling pathways.</w:t>
      </w:r>
    </w:p>
    <w:p>
      <w:pPr>
        <w:pStyle w:val="ListParagraph"/>
        <w:numPr>
          <w:ilvl w:val="0"/>
          <w:numId w:val="2"/>
        </w:numPr>
        <w:spacing w:after="160"/>
      </w:pPr>
      <w:r>
        <w:rPr>
          <w:rFonts w:ascii="Arial" w:cs="Arial" w:eastAsia="Arial" w:hAnsi="Arial"/>
          <w:sz w:val="24"/>
          <w:szCs w:val="24"/>
        </w:rPr>
        <w:t xml:space="preserve">22. Compare the functional clustering from the Angelini Optopatch data with an independent clustering based on clinical phenotype features (seizure type, age of onset, EEG pattern, developmental trajectory) extracted from the ILAE classification system and published genotype-phenotype studies.</w:t>
      </w:r>
    </w:p>
    <w:p>
      <w:pPr>
        <w:pStyle w:val="ListParagraph"/>
        <w:numPr>
          <w:ilvl w:val="0"/>
          <w:numId w:val="2"/>
        </w:numPr>
        <w:spacing w:after="160"/>
      </w:pPr>
      <w:r>
        <w:rPr>
          <w:rFonts w:ascii="Arial" w:cs="Arial" w:eastAsia="Arial" w:hAnsi="Arial"/>
          <w:sz w:val="24"/>
          <w:szCs w:val="24"/>
        </w:rPr>
        <w:t xml:space="preserve">23. For each functional cluster in the Angelini dataset, identify whether there exists a known master regulator transcription factor or signaling hub using TRRUST, RegNetwork, and Ingenuity Pathway Analysis upstream regulator predictions applied to the cluster's gene membership.</w:t>
      </w:r>
    </w:p>
    <w:p>
      <w:pPr>
        <w:pStyle w:val="ListParagraph"/>
        <w:numPr>
          <w:ilvl w:val="0"/>
          <w:numId w:val="2"/>
        </w:numPr>
        <w:spacing w:after="160"/>
      </w:pPr>
      <w:r>
        <w:rPr>
          <w:rFonts w:ascii="Arial" w:cs="Arial" w:eastAsia="Arial" w:hAnsi="Arial"/>
          <w:sz w:val="24"/>
          <w:szCs w:val="24"/>
        </w:rPr>
        <w:t xml:space="preserve">24. Determine whether the functional clusters from the Angelini CRISPRn screen are enriched for specific protein domains or structural motifs using InterPro and Pfam domain annotations, and whether shared domain architecture predicts co-clustering.</w:t>
      </w:r>
    </w:p>
    <w:p>
      <w:pPr>
        <w:pStyle w:val="ListParagraph"/>
        <w:numPr>
          <w:ilvl w:val="0"/>
          <w:numId w:val="2"/>
        </w:numPr>
        <w:spacing w:after="160"/>
      </w:pPr>
      <w:r>
        <w:rPr>
          <w:rFonts w:ascii="Arial" w:cs="Arial" w:eastAsia="Arial" w:hAnsi="Arial"/>
          <w:sz w:val="24"/>
          <w:szCs w:val="24"/>
        </w:rPr>
        <w:t xml:space="preserve">25. Using the Angelini common node assignments, query the ClinicalTrials.gov database to identify ongoing or completed clinical trials targeting any gene within each functional cluster and assess whether therapeutic strategies are disproportionately concentrated in certain clusters.</w:t>
      </w:r>
    </w:p>
    <w:p>
      <w:pPr>
        <w:pStyle w:val="ListParagraph"/>
        <w:numPr>
          <w:ilvl w:val="0"/>
          <w:numId w:val="2"/>
        </w:numPr>
        <w:spacing w:after="160"/>
      </w:pPr>
      <w:r>
        <w:rPr>
          <w:rFonts w:ascii="Arial" w:cs="Arial" w:eastAsia="Arial" w:hAnsi="Arial"/>
          <w:sz w:val="24"/>
          <w:szCs w:val="24"/>
        </w:rPr>
        <w:t xml:space="preserve">26. Analyze whether the functional clusters from the Angelini data show enrichment for specific subcellular compartments, cell-type expression patterns, or developmental expression windows using data from BrainSpan, Allen Developing Human Brain Atlas, and the Human Protein Atlas.</w:t>
      </w:r>
    </w:p>
    <w:p>
      <w:pPr>
        <w:pStyle w:val="ListParagraph"/>
        <w:numPr>
          <w:ilvl w:val="0"/>
          <w:numId w:val="2"/>
        </w:numPr>
        <w:spacing w:after="160"/>
      </w:pPr>
      <w:r>
        <w:rPr>
          <w:rFonts w:ascii="Arial" w:cs="Arial" w:eastAsia="Arial" w:hAnsi="Arial"/>
          <w:sz w:val="24"/>
          <w:szCs w:val="24"/>
        </w:rPr>
        <w:t xml:space="preserve">27. For each common node identified in the Angelini dataset, calculate a 'druggability score' by integrating target-level druggability assessments from the Drug Gene Interaction Database (DGIdb), Open Targets, and ChEMBL tractability predictions for all genes within the cluster.</w:t>
      </w:r>
    </w:p>
    <w:p>
      <w:pPr>
        <w:pStyle w:val="ListParagraph"/>
        <w:numPr>
          <w:ilvl w:val="0"/>
          <w:numId w:val="2"/>
        </w:numPr>
        <w:spacing w:after="160"/>
      </w:pPr>
      <w:r>
        <w:rPr>
          <w:rFonts w:ascii="Arial" w:cs="Arial" w:eastAsia="Arial" w:hAnsi="Arial"/>
          <w:sz w:val="24"/>
          <w:szCs w:val="24"/>
        </w:rPr>
        <w:t xml:space="preserve">28. Query whether the functional cluster structure from the Angelini data is preserved when analyzed at different levels of CRISPRn knockdown efficiency, testing the robustness of common node assignments to partial versus complete loss-of-function.</w:t>
      </w:r>
    </w:p>
    <w:p>
      <w:pPr>
        <w:pStyle w:val="ListParagraph"/>
        <w:numPr>
          <w:ilvl w:val="0"/>
          <w:numId w:val="2"/>
        </w:numPr>
        <w:spacing w:after="160"/>
      </w:pPr>
      <w:r>
        <w:rPr>
          <w:rFonts w:ascii="Arial" w:cs="Arial" w:eastAsia="Arial" w:hAnsi="Arial"/>
          <w:sz w:val="24"/>
          <w:szCs w:val="24"/>
        </w:rPr>
        <w:t xml:space="preserve">29. Compare the Angelini-derived functional clusters with epilepsy gene co-expression modules identified in published WGCNA analyses of human brain transcriptome data (BrainSpan, GTEx brain tissues) to determine whether co-expression predicts functional co-clustering.</w:t>
      </w:r>
    </w:p>
    <w:p>
      <w:pPr>
        <w:pStyle w:val="ListParagraph"/>
        <w:numPr>
          <w:ilvl w:val="0"/>
          <w:numId w:val="2"/>
        </w:numPr>
        <w:spacing w:after="160"/>
      </w:pPr>
      <w:r>
        <w:rPr>
          <w:rFonts w:ascii="Arial" w:cs="Arial" w:eastAsia="Arial" w:hAnsi="Arial"/>
          <w:sz w:val="24"/>
          <w:szCs w:val="24"/>
        </w:rPr>
        <w:t xml:space="preserve">30. Identify DEE genes from the Angelini screen whose functional fingerprints are 'outliers' — not fitting well into any identified cluster — and investigate whether these genes represent unique disease mechanisms, technical artifacts, or potential novel common nodes requiring additional data.</w:t>
      </w:r>
    </w:p>
    <w:p>
      <w:pPr>
        <w:pStyle w:val="Heading2"/>
      </w:pPr>
      <w:r>
        <w:rPr>
          <w:rFonts w:ascii="Arial" w:cs="Arial" w:eastAsia="Arial" w:hAnsi="Arial"/>
          <w:b/>
          <w:bCs/>
          <w:sz w:val="28"/>
          <w:szCs w:val="28"/>
        </w:rPr>
        <w:t xml:space="preserve">Section 3: RNA-seq Transcriptomic Analysis</w:t>
      </w:r>
    </w:p>
    <w:p>
      <w:pPr>
        <w:pStyle w:val="ListParagraph"/>
        <w:numPr>
          <w:ilvl w:val="0"/>
          <w:numId w:val="2"/>
        </w:numPr>
        <w:spacing w:after="160"/>
      </w:pPr>
      <w:r>
        <w:rPr>
          <w:rFonts w:ascii="Arial" w:cs="Arial" w:eastAsia="Arial" w:hAnsi="Arial"/>
          <w:sz w:val="24"/>
          <w:szCs w:val="24"/>
        </w:rPr>
        <w:t xml:space="preserve">31. For the 50 DEE genes selected for RNA-seq characterization in Phase 1.2 of the Angelini study, retrieve the differential gene expression profiles (DEGs) following CRISPRn knockout and identify shared upregulated and downregulated genes across multiple DEE gene perturbations.</w:t>
      </w:r>
    </w:p>
    <w:p>
      <w:pPr>
        <w:pStyle w:val="ListParagraph"/>
        <w:numPr>
          <w:ilvl w:val="0"/>
          <w:numId w:val="2"/>
        </w:numPr>
        <w:spacing w:after="160"/>
      </w:pPr>
      <w:r>
        <w:rPr>
          <w:rFonts w:ascii="Arial" w:cs="Arial" w:eastAsia="Arial" w:hAnsi="Arial"/>
          <w:sz w:val="24"/>
          <w:szCs w:val="24"/>
        </w:rPr>
        <w:t xml:space="preserve">32. Perform pathway enrichment analysis (GSEA using MSigDB Hallmark, KEGG, and Reactome gene sets) on the RNA-seq differential expression signatures from each of the 50 DEE gene knockouts in the Angelini Phase 1.2 dataset to identify convergent pathway dysregulation across functional clusters.</w:t>
      </w:r>
    </w:p>
    <w:p>
      <w:pPr>
        <w:pStyle w:val="ListParagraph"/>
        <w:numPr>
          <w:ilvl w:val="0"/>
          <w:numId w:val="2"/>
        </w:numPr>
        <w:spacing w:after="160"/>
      </w:pPr>
      <w:r>
        <w:rPr>
          <w:rFonts w:ascii="Arial" w:cs="Arial" w:eastAsia="Arial" w:hAnsi="Arial"/>
          <w:sz w:val="24"/>
          <w:szCs w:val="24"/>
        </w:rPr>
        <w:t xml:space="preserve">33. Using the Angelini RNA-seq data, identify transcription factor activity changes following DEE gene knockout by applying VIPER/DoRothEA regulon analysis to infer master regulator transcription factors whose activity is consistently altered within each functional cluster.</w:t>
      </w:r>
    </w:p>
    <w:p>
      <w:pPr>
        <w:pStyle w:val="ListParagraph"/>
        <w:numPr>
          <w:ilvl w:val="0"/>
          <w:numId w:val="2"/>
        </w:numPr>
        <w:spacing w:after="160"/>
      </w:pPr>
      <w:r>
        <w:rPr>
          <w:rFonts w:ascii="Arial" w:cs="Arial" w:eastAsia="Arial" w:hAnsi="Arial"/>
          <w:sz w:val="24"/>
          <w:szCs w:val="24"/>
        </w:rPr>
        <w:t xml:space="preserve">34. Cross-reference the Angelini RNA-seq DEGs with the Connectivity Map (CMap/L1000) database to identify compounds whose transcriptional signatures are anti-correlated with the disease signatures, suggesting potential therapeutic candidates for each functional cluster.</w:t>
      </w:r>
    </w:p>
    <w:p>
      <w:pPr>
        <w:pStyle w:val="ListParagraph"/>
        <w:numPr>
          <w:ilvl w:val="0"/>
          <w:numId w:val="2"/>
        </w:numPr>
        <w:spacing w:after="160"/>
      </w:pPr>
      <w:r>
        <w:rPr>
          <w:rFonts w:ascii="Arial" w:cs="Arial" w:eastAsia="Arial" w:hAnsi="Arial"/>
          <w:sz w:val="24"/>
          <w:szCs w:val="24"/>
        </w:rPr>
        <w:t xml:space="preserve">35. From the Angelini Phase 1.2 RNA-seq data, extract the shared molecular signatures (gene expression changes common to multiple DEE gene knockouts within a functional cluster) and determine whether these convergent signatures map to druggable pathways using the Drug Gene Interaction Database.</w:t>
      </w:r>
    </w:p>
    <w:p>
      <w:pPr>
        <w:pStyle w:val="ListParagraph"/>
        <w:numPr>
          <w:ilvl w:val="0"/>
          <w:numId w:val="2"/>
        </w:numPr>
        <w:spacing w:after="160"/>
      </w:pPr>
      <w:r>
        <w:rPr>
          <w:rFonts w:ascii="Arial" w:cs="Arial" w:eastAsia="Arial" w:hAnsi="Arial"/>
          <w:sz w:val="24"/>
          <w:szCs w:val="24"/>
        </w:rPr>
        <w:t xml:space="preserve">36. Analyze the Angelini RNA-seq data for evidence of compensatory gene expression changes following DEE gene knockout, specifically looking for upregulation of paralogous genes or alternative pathway components that might attenuate or modify the functional phenotype.</w:t>
      </w:r>
    </w:p>
    <w:p>
      <w:pPr>
        <w:pStyle w:val="ListParagraph"/>
        <w:numPr>
          <w:ilvl w:val="0"/>
          <w:numId w:val="2"/>
        </w:numPr>
        <w:spacing w:after="160"/>
      </w:pPr>
      <w:r>
        <w:rPr>
          <w:rFonts w:ascii="Arial" w:cs="Arial" w:eastAsia="Arial" w:hAnsi="Arial"/>
          <w:sz w:val="24"/>
          <w:szCs w:val="24"/>
        </w:rPr>
        <w:t xml:space="preserve">37. Using the Angelini RNA-seq differential expression data, identify non-coding RNA species (lncRNAs, miRNAs from captured data) that are consistently dysregulated across multiple DEE gene knockouts within functional clusters and map their known regulatory targets.</w:t>
      </w:r>
    </w:p>
    <w:p>
      <w:pPr>
        <w:pStyle w:val="ListParagraph"/>
        <w:numPr>
          <w:ilvl w:val="0"/>
          <w:numId w:val="2"/>
        </w:numPr>
        <w:spacing w:after="160"/>
      </w:pPr>
      <w:r>
        <w:rPr>
          <w:rFonts w:ascii="Arial" w:cs="Arial" w:eastAsia="Arial" w:hAnsi="Arial"/>
          <w:sz w:val="24"/>
          <w:szCs w:val="24"/>
        </w:rPr>
        <w:t xml:space="preserve">38. Perform weighted gene co-expression network analysis (WGCNA) on the Angelini Phase 1.2 RNA-seq data across all 50 DEE gene knockouts to identify co-expression modules that correlate with functional cluster membership or specific Optopatch excitability parameters.</w:t>
      </w:r>
    </w:p>
    <w:p>
      <w:pPr>
        <w:pStyle w:val="ListParagraph"/>
        <w:numPr>
          <w:ilvl w:val="0"/>
          <w:numId w:val="2"/>
        </w:numPr>
        <w:spacing w:after="160"/>
      </w:pPr>
      <w:r>
        <w:rPr>
          <w:rFonts w:ascii="Arial" w:cs="Arial" w:eastAsia="Arial" w:hAnsi="Arial"/>
          <w:sz w:val="24"/>
          <w:szCs w:val="24"/>
        </w:rPr>
        <w:t xml:space="preserve">39. Cross-reference the Angelini RNA-seq transcriptomic signatures with published RNA-seq data from patient-derived iPSC neurons carrying DEE mutations (from GEO/SRA repositories) to assess concordance between CRISPRn knockout models and patient-derived disease models.</w:t>
      </w:r>
    </w:p>
    <w:p>
      <w:pPr>
        <w:pStyle w:val="ListParagraph"/>
        <w:numPr>
          <w:ilvl w:val="0"/>
          <w:numId w:val="2"/>
        </w:numPr>
        <w:spacing w:after="160"/>
      </w:pPr>
      <w:r>
        <w:rPr>
          <w:rFonts w:ascii="Arial" w:cs="Arial" w:eastAsia="Arial" w:hAnsi="Arial"/>
          <w:sz w:val="24"/>
          <w:szCs w:val="24"/>
        </w:rPr>
        <w:t xml:space="preserve">40. From the Angelini RNA-seq data, identify shared gene targets that are nominated as candidate therapeutic targets for each functional cluster and evaluate their expression specificity across brain regions and cell types using the Allen Brain Atlas and single-cell transcriptome databases.</w:t>
      </w:r>
    </w:p>
    <w:p>
      <w:pPr>
        <w:pStyle w:val="ListParagraph"/>
        <w:numPr>
          <w:ilvl w:val="0"/>
          <w:numId w:val="2"/>
        </w:numPr>
        <w:spacing w:after="160"/>
      </w:pPr>
      <w:r>
        <w:rPr>
          <w:rFonts w:ascii="Arial" w:cs="Arial" w:eastAsia="Arial" w:hAnsi="Arial"/>
          <w:sz w:val="24"/>
          <w:szCs w:val="24"/>
        </w:rPr>
        <w:t xml:space="preserve">41. Analyze the Angelini RNA-seq data for splicing changes (alternative splicing events, exon usage changes) following DEE gene knockouts using DEXSeq or rMATS approaches to identify post-transcriptional mechanisms contributing to common node phenotypes.</w:t>
      </w:r>
    </w:p>
    <w:p>
      <w:pPr>
        <w:pStyle w:val="ListParagraph"/>
        <w:numPr>
          <w:ilvl w:val="0"/>
          <w:numId w:val="2"/>
        </w:numPr>
        <w:spacing w:after="160"/>
      </w:pPr>
      <w:r>
        <w:rPr>
          <w:rFonts w:ascii="Arial" w:cs="Arial" w:eastAsia="Arial" w:hAnsi="Arial"/>
          <w:sz w:val="24"/>
          <w:szCs w:val="24"/>
        </w:rPr>
        <w:t xml:space="preserve">42. Using the Angelini Phase 1.2 RNA-seq data, quantify the magnitude and direction of gene expression changes for all ion channel, neurotransmitter receptor, and synaptic transmission genes following each DEE gene knockout to build a 'synaptic transcriptome perturbation map'.</w:t>
      </w:r>
    </w:p>
    <w:p>
      <w:pPr>
        <w:pStyle w:val="ListParagraph"/>
        <w:numPr>
          <w:ilvl w:val="0"/>
          <w:numId w:val="2"/>
        </w:numPr>
        <w:spacing w:after="160"/>
      </w:pPr>
      <w:r>
        <w:rPr>
          <w:rFonts w:ascii="Arial" w:cs="Arial" w:eastAsia="Arial" w:hAnsi="Arial"/>
          <w:sz w:val="24"/>
          <w:szCs w:val="24"/>
        </w:rPr>
        <w:t xml:space="preserve">43. Compare the RNA-seq molecular signatures from the Angelini Phase 1.2 dataset with proteomic and phosphoproteomic datasets for overlapping DEE genes (from published studies) to assess whether transcriptional changes predict protein-level and signaling pathway changes.</w:t>
      </w:r>
    </w:p>
    <w:p>
      <w:pPr>
        <w:pStyle w:val="ListParagraph"/>
        <w:numPr>
          <w:ilvl w:val="0"/>
          <w:numId w:val="2"/>
        </w:numPr>
        <w:spacing w:after="160"/>
      </w:pPr>
      <w:r>
        <w:rPr>
          <w:rFonts w:ascii="Arial" w:cs="Arial" w:eastAsia="Arial" w:hAnsi="Arial"/>
          <w:sz w:val="24"/>
          <w:szCs w:val="24"/>
        </w:rPr>
        <w:t xml:space="preserve">44. From the Angelini RNA-seq data, identify candidate biomarkers — genes whose expression changes are specific to individual functional clusters and could serve as pharmacodynamic markers for monitoring treatment response in future drug screening campaigns.</w:t>
      </w:r>
    </w:p>
    <w:p>
      <w:pPr>
        <w:pStyle w:val="ListParagraph"/>
        <w:numPr>
          <w:ilvl w:val="0"/>
          <w:numId w:val="2"/>
        </w:numPr>
        <w:spacing w:after="160"/>
      </w:pPr>
      <w:r>
        <w:rPr>
          <w:rFonts w:ascii="Arial" w:cs="Arial" w:eastAsia="Arial" w:hAnsi="Arial"/>
          <w:sz w:val="24"/>
          <w:szCs w:val="24"/>
        </w:rPr>
        <w:t xml:space="preserve">45. Perform network-based integration of the Angelini RNA-seq DEGs with the Optopatch functional fingerprints to identify gene expression changes that are most strongly correlated with specific electrophysiological parameter shifts, linking molecular changes to functional outcomes.</w:t>
      </w:r>
    </w:p>
    <w:p>
      <w:pPr>
        <w:pStyle w:val="Heading2"/>
      </w:pPr>
      <w:r>
        <w:rPr>
          <w:rFonts w:ascii="Arial" w:cs="Arial" w:eastAsia="Arial" w:hAnsi="Arial"/>
          <w:b/>
          <w:bCs/>
          <w:sz w:val="28"/>
          <w:szCs w:val="28"/>
        </w:rPr>
        <w:t xml:space="preserve">Section 4: Drug Target Identification &amp; Validation</w:t>
      </w:r>
    </w:p>
    <w:p>
      <w:pPr>
        <w:pStyle w:val="ListParagraph"/>
        <w:numPr>
          <w:ilvl w:val="0"/>
          <w:numId w:val="2"/>
        </w:numPr>
        <w:spacing w:after="160"/>
      </w:pPr>
      <w:r>
        <w:rPr>
          <w:rFonts w:ascii="Arial" w:cs="Arial" w:eastAsia="Arial" w:hAnsi="Arial"/>
          <w:sz w:val="24"/>
          <w:szCs w:val="24"/>
        </w:rPr>
        <w:t xml:space="preserve">46. For each common node/functional cluster identified in the Angelini data, query Open Targets, ChEMBL, and DrugBank to compile a comprehensive list of existing drugs and tool compounds that target any gene within the cluster, categorized by mechanism of action and clinical development stage.</w:t>
      </w:r>
    </w:p>
    <w:p>
      <w:pPr>
        <w:pStyle w:val="ListParagraph"/>
        <w:numPr>
          <w:ilvl w:val="0"/>
          <w:numId w:val="2"/>
        </w:numPr>
        <w:spacing w:after="160"/>
      </w:pPr>
      <w:r>
        <w:rPr>
          <w:rFonts w:ascii="Arial" w:cs="Arial" w:eastAsia="Arial" w:hAnsi="Arial"/>
          <w:sz w:val="24"/>
          <w:szCs w:val="24"/>
        </w:rPr>
        <w:t xml:space="preserve">47. Using the Angelini functional cluster and RNA-seq data, identify the top 10 most promising drug targets per cluster by integrating druggability scores, pathway centrality, expression specificity, genetic constraint (gnomAD), and consistency of phenotypic effect across cluster members.</w:t>
      </w:r>
    </w:p>
    <w:p>
      <w:pPr>
        <w:pStyle w:val="ListParagraph"/>
        <w:numPr>
          <w:ilvl w:val="0"/>
          <w:numId w:val="2"/>
        </w:numPr>
        <w:spacing w:after="160"/>
      </w:pPr>
      <w:r>
        <w:rPr>
          <w:rFonts w:ascii="Arial" w:cs="Arial" w:eastAsia="Arial" w:hAnsi="Arial"/>
          <w:sz w:val="24"/>
          <w:szCs w:val="24"/>
        </w:rPr>
        <w:t xml:space="preserve">48. Cross-reference the drug target candidates nominated from the Angelini data with the FDA Adverse Event Reporting System (FAERS) database to identify potential safety signals associated with modulating these targets, particularly neurological and psychiatric adverse events.</w:t>
      </w:r>
    </w:p>
    <w:p>
      <w:pPr>
        <w:pStyle w:val="ListParagraph"/>
        <w:numPr>
          <w:ilvl w:val="0"/>
          <w:numId w:val="2"/>
        </w:numPr>
        <w:spacing w:after="160"/>
      </w:pPr>
      <w:r>
        <w:rPr>
          <w:rFonts w:ascii="Arial" w:cs="Arial" w:eastAsia="Arial" w:hAnsi="Arial"/>
          <w:sz w:val="24"/>
          <w:szCs w:val="24"/>
        </w:rPr>
        <w:t xml:space="preserve">49. For the Phase 1.3a annotated pharmacology screens planned in the Angelini program, query the Angelini functional cluster data and Quiver's 3,000-compound annotated library to identify which library compounds target genes or pathways within each common node.</w:t>
      </w:r>
    </w:p>
    <w:p>
      <w:pPr>
        <w:pStyle w:val="ListParagraph"/>
        <w:numPr>
          <w:ilvl w:val="0"/>
          <w:numId w:val="2"/>
        </w:numPr>
        <w:spacing w:after="160"/>
      </w:pPr>
      <w:r>
        <w:rPr>
          <w:rFonts w:ascii="Arial" w:cs="Arial" w:eastAsia="Arial" w:hAnsi="Arial"/>
          <w:sz w:val="24"/>
          <w:szCs w:val="24"/>
        </w:rPr>
        <w:t xml:space="preserve">50. Using the Angelini common node framework, identify opportunities for drug repurposing by matching functional cluster signatures with the mechanisms of action of FDA-approved drugs from the DrugBank and Therapeutic Target Database (TTD).</w:t>
      </w:r>
    </w:p>
    <w:p>
      <w:pPr>
        <w:pStyle w:val="ListParagraph"/>
        <w:numPr>
          <w:ilvl w:val="0"/>
          <w:numId w:val="2"/>
        </w:numPr>
        <w:spacing w:after="160"/>
      </w:pPr>
      <w:r>
        <w:rPr>
          <w:rFonts w:ascii="Arial" w:cs="Arial" w:eastAsia="Arial" w:hAnsi="Arial"/>
          <w:sz w:val="24"/>
          <w:szCs w:val="24"/>
        </w:rPr>
        <w:t xml:space="preserve">51. From the Angelini data, identify genes within each functional cluster that are targetable by antisense oligonucleotides (ASOs) and evaluate the feasibility of ASO-based therapeutic approaches based on gene structure, brain expression, and precedent ASO therapies for neurological diseases.</w:t>
      </w:r>
    </w:p>
    <w:p>
      <w:pPr>
        <w:pStyle w:val="ListParagraph"/>
        <w:numPr>
          <w:ilvl w:val="0"/>
          <w:numId w:val="2"/>
        </w:numPr>
        <w:spacing w:after="160"/>
      </w:pPr>
      <w:r>
        <w:rPr>
          <w:rFonts w:ascii="Arial" w:cs="Arial" w:eastAsia="Arial" w:hAnsi="Arial"/>
          <w:sz w:val="24"/>
          <w:szCs w:val="24"/>
        </w:rPr>
        <w:t xml:space="preserve">52. Query the Angelini functional cluster data to identify targets amenable to gene therapy approaches (gene replacement, gene augmentation, or gene silencing) by cross-referencing with the ASGCT clinical trials database and published AAV tropism data for CNS delivery.</w:t>
      </w:r>
    </w:p>
    <w:p>
      <w:pPr>
        <w:pStyle w:val="ListParagraph"/>
        <w:numPr>
          <w:ilvl w:val="0"/>
          <w:numId w:val="2"/>
        </w:numPr>
        <w:spacing w:after="160"/>
      </w:pPr>
      <w:r>
        <w:rPr>
          <w:rFonts w:ascii="Arial" w:cs="Arial" w:eastAsia="Arial" w:hAnsi="Arial"/>
          <w:sz w:val="24"/>
          <w:szCs w:val="24"/>
        </w:rPr>
        <w:t xml:space="preserve">53. Using the Angelini RNA-seq-nominated pathways for each functional cluster, identify allosteric modulators and positive/negative modulators available from the IUPHAR/BPS Guide to Pharmacology and ChEMBL that could be used for target validation in Optopatch rescue assays.</w:t>
      </w:r>
    </w:p>
    <w:p>
      <w:pPr>
        <w:pStyle w:val="ListParagraph"/>
        <w:numPr>
          <w:ilvl w:val="0"/>
          <w:numId w:val="2"/>
        </w:numPr>
        <w:spacing w:after="160"/>
      </w:pPr>
      <w:r>
        <w:rPr>
          <w:rFonts w:ascii="Arial" w:cs="Arial" w:eastAsia="Arial" w:hAnsi="Arial"/>
          <w:sz w:val="24"/>
          <w:szCs w:val="24"/>
        </w:rPr>
        <w:t xml:space="preserve">54. For the drug targets nominated from the Angelini common node analysis, retrieve structural biology data (protein crystal structures, cryo-EM structures, AlphaFold predictions) from the PDB and AlphaFold Protein Structure Database to assess binding site accessibility and druggability.</w:t>
      </w:r>
    </w:p>
    <w:p>
      <w:pPr>
        <w:pStyle w:val="ListParagraph"/>
        <w:numPr>
          <w:ilvl w:val="0"/>
          <w:numId w:val="2"/>
        </w:numPr>
        <w:spacing w:after="160"/>
      </w:pPr>
      <w:r>
        <w:rPr>
          <w:rFonts w:ascii="Arial" w:cs="Arial" w:eastAsia="Arial" w:hAnsi="Arial"/>
          <w:sz w:val="24"/>
          <w:szCs w:val="24"/>
        </w:rPr>
        <w:t xml:space="preserve">55. Cross-reference the Angelini-nominated drug targets with ongoing pharmaceutical company pipelines (from Cortellis, Pharmaprojects, or GlobalData) to identify potential partnership opportunities or competitive landscape considerations for each common node therapeutic strategy.</w:t>
      </w:r>
    </w:p>
    <w:p>
      <w:pPr>
        <w:pStyle w:val="ListParagraph"/>
        <w:numPr>
          <w:ilvl w:val="0"/>
          <w:numId w:val="2"/>
        </w:numPr>
        <w:spacing w:after="160"/>
      </w:pPr>
      <w:r>
        <w:rPr>
          <w:rFonts w:ascii="Arial" w:cs="Arial" w:eastAsia="Arial" w:hAnsi="Arial"/>
          <w:sz w:val="24"/>
          <w:szCs w:val="24"/>
        </w:rPr>
        <w:t xml:space="preserve">56. Using the Angelini functional cluster assignments, perform a systematic analysis of which clusters contain targets with existing clinical-stage therapeutics versus those representing completely novel target spaces, and prioritize clusters based on development risk and therapeutic differentiation.</w:t>
      </w:r>
    </w:p>
    <w:p>
      <w:pPr>
        <w:pStyle w:val="ListParagraph"/>
        <w:numPr>
          <w:ilvl w:val="0"/>
          <w:numId w:val="2"/>
        </w:numPr>
        <w:spacing w:after="160"/>
      </w:pPr>
      <w:r>
        <w:rPr>
          <w:rFonts w:ascii="Arial" w:cs="Arial" w:eastAsia="Arial" w:hAnsi="Arial"/>
          <w:sz w:val="24"/>
          <w:szCs w:val="24"/>
        </w:rPr>
        <w:t xml:space="preserve">57. From the Angelini data, identify multi-target therapeutic strategies that could simultaneously modulate multiple genes within a common node by querying polypharmacology databases and network pharmacology tools (e.g., SEA, CARLSBAD) for compounds with designed multi-target activity.</w:t>
      </w:r>
    </w:p>
    <w:p>
      <w:pPr>
        <w:pStyle w:val="ListParagraph"/>
        <w:numPr>
          <w:ilvl w:val="0"/>
          <w:numId w:val="2"/>
        </w:numPr>
        <w:spacing w:after="160"/>
      </w:pPr>
      <w:r>
        <w:rPr>
          <w:rFonts w:ascii="Arial" w:cs="Arial" w:eastAsia="Arial" w:hAnsi="Arial"/>
          <w:sz w:val="24"/>
          <w:szCs w:val="24"/>
        </w:rPr>
        <w:t xml:space="preserve">58. Query the Angelini functional cluster data to assess which common nodes are most amenable to small molecule intervention versus biologics (antibodies, peptides, enzymes) by analyzing the target class distribution (GPCRs, kinases, ion channels, enzymes, protein-protein interactions) within each cluster.</w:t>
      </w:r>
    </w:p>
    <w:p>
      <w:pPr>
        <w:pStyle w:val="ListParagraph"/>
        <w:numPr>
          <w:ilvl w:val="0"/>
          <w:numId w:val="2"/>
        </w:numPr>
        <w:spacing w:after="160"/>
      </w:pPr>
      <w:r>
        <w:rPr>
          <w:rFonts w:ascii="Arial" w:cs="Arial" w:eastAsia="Arial" w:hAnsi="Arial"/>
          <w:sz w:val="24"/>
          <w:szCs w:val="24"/>
        </w:rPr>
        <w:t xml:space="preserve">59. Using the Angelini common node framework, design a target validation strategy for each nominated drug target by identifying which CRISPRn perturbations, pharmacological tools, and Optopatch readouts should be combined in the Phase 1.3 confirmation screens.</w:t>
      </w:r>
    </w:p>
    <w:p>
      <w:pPr>
        <w:pStyle w:val="ListParagraph"/>
        <w:numPr>
          <w:ilvl w:val="0"/>
          <w:numId w:val="2"/>
        </w:numPr>
        <w:spacing w:after="160"/>
      </w:pPr>
      <w:r>
        <w:rPr>
          <w:rFonts w:ascii="Arial" w:cs="Arial" w:eastAsia="Arial" w:hAnsi="Arial"/>
          <w:sz w:val="24"/>
          <w:szCs w:val="24"/>
        </w:rPr>
        <w:t xml:space="preserve">60. From the Angelini data, identify instances where different DEE gene knockouts within the same functional cluster show divergent responses to the same pharmacological rescue strategy, and analyze whether these differences correlate with specific molecular subtypes within the cluster.</w:t>
      </w:r>
    </w:p>
    <w:p>
      <w:pPr>
        <w:pStyle w:val="Heading2"/>
      </w:pPr>
      <w:r>
        <w:rPr>
          <w:rFonts w:ascii="Arial" w:cs="Arial" w:eastAsia="Arial" w:hAnsi="Arial"/>
          <w:b/>
          <w:bCs/>
          <w:sz w:val="28"/>
          <w:szCs w:val="28"/>
        </w:rPr>
        <w:t xml:space="preserve">Section 5: Compound Screening &amp; NCE Identification</w:t>
      </w:r>
    </w:p>
    <w:p>
      <w:pPr>
        <w:pStyle w:val="ListParagraph"/>
        <w:numPr>
          <w:ilvl w:val="0"/>
          <w:numId w:val="2"/>
        </w:numPr>
        <w:spacing w:after="160"/>
      </w:pPr>
      <w:r>
        <w:rPr>
          <w:rFonts w:ascii="Arial" w:cs="Arial" w:eastAsia="Arial" w:hAnsi="Arial"/>
          <w:sz w:val="24"/>
          <w:szCs w:val="24"/>
        </w:rPr>
        <w:t xml:space="preserve">61. Query the Angelini functional cluster data in conjunction with Quiver's 14,000-compound small molecule library annotations to identify the subset of library compounds most likely to rescue neuronal excitability phenotypes for each common node based on target class and pathway alignment.</w:t>
      </w:r>
    </w:p>
    <w:p>
      <w:pPr>
        <w:pStyle w:val="ListParagraph"/>
        <w:numPr>
          <w:ilvl w:val="0"/>
          <w:numId w:val="2"/>
        </w:numPr>
        <w:spacing w:after="160"/>
      </w:pPr>
      <w:r>
        <w:rPr>
          <w:rFonts w:ascii="Arial" w:cs="Arial" w:eastAsia="Arial" w:hAnsi="Arial"/>
          <w:sz w:val="24"/>
          <w:szCs w:val="24"/>
        </w:rPr>
        <w:t xml:space="preserve">62. For the Angelini Phase 1.3b phenotypic screens, design an optimal compound screening strategy by analyzing the Optopatch Z-prime scores and signal-to-noise ratios for each functional cluster phenotype to determine which clusters are most amenable to high-throughput phenotypic screening.</w:t>
      </w:r>
    </w:p>
    <w:p>
      <w:pPr>
        <w:pStyle w:val="ListParagraph"/>
        <w:numPr>
          <w:ilvl w:val="0"/>
          <w:numId w:val="2"/>
        </w:numPr>
        <w:spacing w:after="160"/>
      </w:pPr>
      <w:r>
        <w:rPr>
          <w:rFonts w:ascii="Arial" w:cs="Arial" w:eastAsia="Arial" w:hAnsi="Arial"/>
          <w:sz w:val="24"/>
          <w:szCs w:val="24"/>
        </w:rPr>
        <w:t xml:space="preserve">63. Using the Angelini Optopatch rescue screen data (when available), identify hit compounds that restore wild-type-like excitability fingerprints across multiple DEE gene knockouts within a common node and rank these by potency, selectivity, and breadth of rescue activity.</w:t>
      </w:r>
    </w:p>
    <w:p>
      <w:pPr>
        <w:pStyle w:val="ListParagraph"/>
        <w:numPr>
          <w:ilvl w:val="0"/>
          <w:numId w:val="2"/>
        </w:numPr>
        <w:spacing w:after="160"/>
      </w:pPr>
      <w:r>
        <w:rPr>
          <w:rFonts w:ascii="Arial" w:cs="Arial" w:eastAsia="Arial" w:hAnsi="Arial"/>
          <w:sz w:val="24"/>
          <w:szCs w:val="24"/>
        </w:rPr>
        <w:t xml:space="preserve">64. Cross-reference hit compounds from the Angelini phenotypic screens with Quiver's internal database of functional fingerprints for known drug targets to perform target deconvolution by matching compound-induced fingerprint signatures to known target-specific signatures.</w:t>
      </w:r>
    </w:p>
    <w:p>
      <w:pPr>
        <w:pStyle w:val="ListParagraph"/>
        <w:numPr>
          <w:ilvl w:val="0"/>
          <w:numId w:val="2"/>
        </w:numPr>
        <w:spacing w:after="160"/>
      </w:pPr>
      <w:r>
        <w:rPr>
          <w:rFonts w:ascii="Arial" w:cs="Arial" w:eastAsia="Arial" w:hAnsi="Arial"/>
          <w:sz w:val="24"/>
          <w:szCs w:val="24"/>
        </w:rPr>
        <w:t xml:space="preserve">65. From the Angelini compound screening data, analyze structure-activity relationships (SAR) among hit compounds within each functional cluster by clustering hits by chemical scaffold and correlating structural features with potency and selectivity of Optopatch rescue.</w:t>
      </w:r>
    </w:p>
    <w:p>
      <w:pPr>
        <w:pStyle w:val="ListParagraph"/>
        <w:numPr>
          <w:ilvl w:val="0"/>
          <w:numId w:val="2"/>
        </w:numPr>
        <w:spacing w:after="160"/>
      </w:pPr>
      <w:r>
        <w:rPr>
          <w:rFonts w:ascii="Arial" w:cs="Arial" w:eastAsia="Arial" w:hAnsi="Arial"/>
          <w:sz w:val="24"/>
          <w:szCs w:val="24"/>
        </w:rPr>
        <w:t xml:space="preserve">66. Query the Angelini screening data to identify 'pan-cluster' compounds that show rescue activity across multiple functional clusters versus 'cluster-selective' compounds specific to individual common nodes, and assess the therapeutic implications of each profile.</w:t>
      </w:r>
    </w:p>
    <w:p>
      <w:pPr>
        <w:pStyle w:val="ListParagraph"/>
        <w:numPr>
          <w:ilvl w:val="0"/>
          <w:numId w:val="2"/>
        </w:numPr>
        <w:spacing w:after="160"/>
      </w:pPr>
      <w:r>
        <w:rPr>
          <w:rFonts w:ascii="Arial" w:cs="Arial" w:eastAsia="Arial" w:hAnsi="Arial"/>
          <w:sz w:val="24"/>
          <w:szCs w:val="24"/>
        </w:rPr>
        <w:t xml:space="preserve">67. Using the Angelini compound screening results, cross-reference hit compounds with the ADMET (absorption, distribution, metabolism, excretion, toxicity) prediction databases (SwissADME, pkCSM, admetSAR) to prioritize compounds with favorable drug-like properties for CNS indications.</w:t>
      </w:r>
    </w:p>
    <w:p>
      <w:pPr>
        <w:pStyle w:val="ListParagraph"/>
        <w:numPr>
          <w:ilvl w:val="0"/>
          <w:numId w:val="2"/>
        </w:numPr>
        <w:spacing w:after="160"/>
      </w:pPr>
      <w:r>
        <w:rPr>
          <w:rFonts w:ascii="Arial" w:cs="Arial" w:eastAsia="Arial" w:hAnsi="Arial"/>
          <w:sz w:val="24"/>
          <w:szCs w:val="24"/>
        </w:rPr>
        <w:t xml:space="preserve">68. For hit compounds identified in the Angelini screens, query patent databases (Google Patents, Espacenet, USPTO) and freedom-to-operate analyses to assess intellectual property landscape and identify composition-of-matter or method-of-use patent opportunities.</w:t>
      </w:r>
    </w:p>
    <w:p>
      <w:pPr>
        <w:pStyle w:val="ListParagraph"/>
        <w:numPr>
          <w:ilvl w:val="0"/>
          <w:numId w:val="2"/>
        </w:numPr>
        <w:spacing w:after="160"/>
      </w:pPr>
      <w:r>
        <w:rPr>
          <w:rFonts w:ascii="Arial" w:cs="Arial" w:eastAsia="Arial" w:hAnsi="Arial"/>
          <w:sz w:val="24"/>
          <w:szCs w:val="24"/>
        </w:rPr>
        <w:t xml:space="preserve">69. From the Angelini compound screening data, identify whether the Angelini small molecule library (distinct from Quiver's 14k library) yields unique hits not represented in Quiver's library and characterize these as potential novel chemical matter for DEE therapeutic development.</w:t>
      </w:r>
    </w:p>
    <w:p>
      <w:pPr>
        <w:pStyle w:val="ListParagraph"/>
        <w:numPr>
          <w:ilvl w:val="0"/>
          <w:numId w:val="2"/>
        </w:numPr>
        <w:spacing w:after="160"/>
      </w:pPr>
      <w:r>
        <w:rPr>
          <w:rFonts w:ascii="Arial" w:cs="Arial" w:eastAsia="Arial" w:hAnsi="Arial"/>
          <w:sz w:val="24"/>
          <w:szCs w:val="24"/>
        </w:rPr>
        <w:t xml:space="preserve">70. Using the Angelini screening results, compare the hit rates and compound profiles obtained from phenotypic Optopatch-based screening versus target-based screening against nominated drug targets to assess the relative productivity of each screening approach.</w:t>
      </w:r>
    </w:p>
    <w:p>
      <w:pPr>
        <w:pStyle w:val="ListParagraph"/>
        <w:numPr>
          <w:ilvl w:val="0"/>
          <w:numId w:val="2"/>
        </w:numPr>
        <w:spacing w:after="160"/>
      </w:pPr>
      <w:r>
        <w:rPr>
          <w:rFonts w:ascii="Arial" w:cs="Arial" w:eastAsia="Arial" w:hAnsi="Arial"/>
          <w:sz w:val="24"/>
          <w:szCs w:val="24"/>
        </w:rPr>
        <w:t xml:space="preserve">71. Query the Angelini compound data to identify hit compounds that are FDA-approved drugs or are in advanced clinical development, representing immediate repurposing opportunities for DEE patients with genotypes mapping to the corresponding functional cluster.</w:t>
      </w:r>
    </w:p>
    <w:p>
      <w:pPr>
        <w:pStyle w:val="ListParagraph"/>
        <w:numPr>
          <w:ilvl w:val="0"/>
          <w:numId w:val="2"/>
        </w:numPr>
        <w:spacing w:after="160"/>
      </w:pPr>
      <w:r>
        <w:rPr>
          <w:rFonts w:ascii="Arial" w:cs="Arial" w:eastAsia="Arial" w:hAnsi="Arial"/>
          <w:sz w:val="24"/>
          <w:szCs w:val="24"/>
        </w:rPr>
        <w:t xml:space="preserve">72. From the Angelini screening data, analyze the dose-response curves of top hit compounds in Optopatch rescue assays to characterize potency (EC50), efficacy (maximum rescue), and therapeutic window for each compound-cluster combination.</w:t>
      </w:r>
    </w:p>
    <w:p>
      <w:pPr>
        <w:pStyle w:val="ListParagraph"/>
        <w:numPr>
          <w:ilvl w:val="0"/>
          <w:numId w:val="2"/>
        </w:numPr>
        <w:spacing w:after="160"/>
      </w:pPr>
      <w:r>
        <w:rPr>
          <w:rFonts w:ascii="Arial" w:cs="Arial" w:eastAsia="Arial" w:hAnsi="Arial"/>
          <w:sz w:val="24"/>
          <w:szCs w:val="24"/>
        </w:rPr>
        <w:t xml:space="preserve">73. Using the Angelini hit compound data, perform computational target prediction using SwissTargetPrediction, SEA, and PharmMapper to generate hypotheses about the molecular targets of phenotypic hits whose mechanism of action is not immediately apparent from library annotations.</w:t>
      </w:r>
    </w:p>
    <w:p>
      <w:pPr>
        <w:pStyle w:val="ListParagraph"/>
        <w:numPr>
          <w:ilvl w:val="0"/>
          <w:numId w:val="2"/>
        </w:numPr>
        <w:spacing w:after="160"/>
      </w:pPr>
      <w:r>
        <w:rPr>
          <w:rFonts w:ascii="Arial" w:cs="Arial" w:eastAsia="Arial" w:hAnsi="Arial"/>
          <w:sz w:val="24"/>
          <w:szCs w:val="24"/>
        </w:rPr>
        <w:t xml:space="preserve">74. Cross-reference the Angelini compound screening hits with published compound toxicity databases (ToxCast, Tox21, eTOXsys) to identify potential safety liabilities early and prioritize compounds with clean toxicity profiles for further development.</w:t>
      </w:r>
    </w:p>
    <w:p>
      <w:pPr>
        <w:pStyle w:val="ListParagraph"/>
        <w:numPr>
          <w:ilvl w:val="0"/>
          <w:numId w:val="2"/>
        </w:numPr>
        <w:spacing w:after="160"/>
      </w:pPr>
      <w:r>
        <w:rPr>
          <w:rFonts w:ascii="Arial" w:cs="Arial" w:eastAsia="Arial" w:hAnsi="Arial"/>
          <w:sz w:val="24"/>
          <w:szCs w:val="24"/>
        </w:rPr>
        <w:t xml:space="preserve">75. From the Angelini compound screening data, identify hit compounds suitable for ASO development by analyzing whether the Optopatch rescue phenotype is mimicked by genetic knockdown of the predicted target using CRISPRn data from the same Angelini functional screen.</w:t>
      </w:r>
    </w:p>
    <w:p>
      <w:pPr>
        <w:pStyle w:val="Heading2"/>
      </w:pPr>
      <w:r>
        <w:rPr>
          <w:rFonts w:ascii="Arial" w:cs="Arial" w:eastAsia="Arial" w:hAnsi="Arial"/>
          <w:b/>
          <w:bCs/>
          <w:sz w:val="28"/>
          <w:szCs w:val="28"/>
        </w:rPr>
        <w:t xml:space="preserve">Section 6: Clinical Translation &amp; Patient Stratification</w:t>
      </w:r>
    </w:p>
    <w:p>
      <w:pPr>
        <w:pStyle w:val="ListParagraph"/>
        <w:numPr>
          <w:ilvl w:val="0"/>
          <w:numId w:val="2"/>
        </w:numPr>
        <w:spacing w:after="160"/>
      </w:pPr>
      <w:r>
        <w:rPr>
          <w:rFonts w:ascii="Arial" w:cs="Arial" w:eastAsia="Arial" w:hAnsi="Arial"/>
          <w:sz w:val="24"/>
          <w:szCs w:val="24"/>
        </w:rPr>
        <w:t xml:space="preserve">76. Using the Angelini common node functional cluster assignments, query ClinVar, HGMD, and gnomAD for all known pathogenic and likely pathogenic variants in each cluster's DEE genes and estimate the total patient population size per functional cluster from published prevalence data.</w:t>
      </w:r>
    </w:p>
    <w:p>
      <w:pPr>
        <w:pStyle w:val="ListParagraph"/>
        <w:numPr>
          <w:ilvl w:val="0"/>
          <w:numId w:val="2"/>
        </w:numPr>
        <w:spacing w:after="160"/>
      </w:pPr>
      <w:r>
        <w:rPr>
          <w:rFonts w:ascii="Arial" w:cs="Arial" w:eastAsia="Arial" w:hAnsi="Arial"/>
          <w:sz w:val="24"/>
          <w:szCs w:val="24"/>
        </w:rPr>
        <w:t xml:space="preserve">77. For each Angelini-defined common node, retrieve the natural history data (seizure frequency trajectories, developmental milestones, mortality rates) for associated DEE syndromes from published cohort studies and the ILAE classification to build a clinical phenotype profile per cluster.</w:t>
      </w:r>
    </w:p>
    <w:p>
      <w:pPr>
        <w:pStyle w:val="ListParagraph"/>
        <w:numPr>
          <w:ilvl w:val="0"/>
          <w:numId w:val="2"/>
        </w:numPr>
        <w:spacing w:after="160"/>
      </w:pPr>
      <w:r>
        <w:rPr>
          <w:rFonts w:ascii="Arial" w:cs="Arial" w:eastAsia="Arial" w:hAnsi="Arial"/>
          <w:sz w:val="24"/>
          <w:szCs w:val="24"/>
        </w:rPr>
        <w:t xml:space="preserve">78. Cross-reference the Angelini functional clusters with genotype-phenotype correlation data from large DEE sequencing cohorts (Epi25 Collaborative, Epi4K, DDD Study) to determine whether variants of different functional consequence (truncating vs. missense) within the same gene map to different clusters.</w:t>
      </w:r>
    </w:p>
    <w:p>
      <w:pPr>
        <w:pStyle w:val="ListParagraph"/>
        <w:numPr>
          <w:ilvl w:val="0"/>
          <w:numId w:val="2"/>
        </w:numPr>
        <w:spacing w:after="160"/>
      </w:pPr>
      <w:r>
        <w:rPr>
          <w:rFonts w:ascii="Arial" w:cs="Arial" w:eastAsia="Arial" w:hAnsi="Arial"/>
          <w:sz w:val="24"/>
          <w:szCs w:val="24"/>
        </w:rPr>
        <w:t xml:space="preserve">79. Using the Angelini common node assignments, identify FDA-approved or EMA-approved seizure medications that are most commonly prescribed for DEE syndromes within each cluster and assess whether current treatment patterns align with the functional cluster pharmacology.</w:t>
      </w:r>
    </w:p>
    <w:p>
      <w:pPr>
        <w:pStyle w:val="ListParagraph"/>
        <w:numPr>
          <w:ilvl w:val="0"/>
          <w:numId w:val="2"/>
        </w:numPr>
        <w:spacing w:after="160"/>
      </w:pPr>
      <w:r>
        <w:rPr>
          <w:rFonts w:ascii="Arial" w:cs="Arial" w:eastAsia="Arial" w:hAnsi="Arial"/>
          <w:sz w:val="24"/>
          <w:szCs w:val="24"/>
        </w:rPr>
        <w:t xml:space="preserve">80. From the Angelini functional cluster data, design a molecular diagnostic strategy for patient stratification that could assign newly diagnosed DEE patients to a common node based on their genetic variant, enabling cluster-specific therapeutic selection.</w:t>
      </w:r>
    </w:p>
    <w:p>
      <w:pPr>
        <w:pStyle w:val="ListParagraph"/>
        <w:numPr>
          <w:ilvl w:val="0"/>
          <w:numId w:val="2"/>
        </w:numPr>
        <w:spacing w:after="160"/>
      </w:pPr>
      <w:r>
        <w:rPr>
          <w:rFonts w:ascii="Arial" w:cs="Arial" w:eastAsia="Arial" w:hAnsi="Arial"/>
          <w:sz w:val="24"/>
          <w:szCs w:val="24"/>
        </w:rPr>
        <w:t xml:space="preserve">81. Query the Angelini dataset to identify DEE genes for which gain-of-function versus loss-of-function variants lead to distinct clinical syndromes and determine how the Optopatch functional fingerprint could be used to predict variant functional consequence for variants of uncertain significance (VUS).</w:t>
      </w:r>
    </w:p>
    <w:p>
      <w:pPr>
        <w:pStyle w:val="ListParagraph"/>
        <w:numPr>
          <w:ilvl w:val="0"/>
          <w:numId w:val="2"/>
        </w:numPr>
        <w:spacing w:after="160"/>
      </w:pPr>
      <w:r>
        <w:rPr>
          <w:rFonts w:ascii="Arial" w:cs="Arial" w:eastAsia="Arial" w:hAnsi="Arial"/>
          <w:sz w:val="24"/>
          <w:szCs w:val="24"/>
        </w:rPr>
        <w:t xml:space="preserve">82. Using the Angelini common node framework, identify clinical outcome measures and seizure diary endpoints from published DEE natural history studies and clinical trials that would be most appropriate for measuring therapeutic efficacy in a cluster-specific clinical trial design.</w:t>
      </w:r>
    </w:p>
    <w:p>
      <w:pPr>
        <w:pStyle w:val="ListParagraph"/>
        <w:numPr>
          <w:ilvl w:val="0"/>
          <w:numId w:val="2"/>
        </w:numPr>
        <w:spacing w:after="160"/>
      </w:pPr>
      <w:r>
        <w:rPr>
          <w:rFonts w:ascii="Arial" w:cs="Arial" w:eastAsia="Arial" w:hAnsi="Arial"/>
          <w:sz w:val="24"/>
          <w:szCs w:val="24"/>
        </w:rPr>
        <w:t xml:space="preserve">83. From the Angelini data, identify potential blood-based or CSF-based biomarkers by cross-referencing the RNA-seq molecular signatures with published biofluid proteomics and metabolomics studies for epilepsy to enable pharmacodynamic monitoring in future clinical trials.</w:t>
      </w:r>
    </w:p>
    <w:p>
      <w:pPr>
        <w:pStyle w:val="ListParagraph"/>
        <w:numPr>
          <w:ilvl w:val="0"/>
          <w:numId w:val="2"/>
        </w:numPr>
        <w:spacing w:after="160"/>
      </w:pPr>
      <w:r>
        <w:rPr>
          <w:rFonts w:ascii="Arial" w:cs="Arial" w:eastAsia="Arial" w:hAnsi="Arial"/>
          <w:sz w:val="24"/>
          <w:szCs w:val="24"/>
        </w:rPr>
        <w:t xml:space="preserve">84. Query the Angelini functional cluster data to identify which common nodes have the strongest rationale for precision medicine approaches (specific drug for specific cluster) versus which might benefit from broader mechanism-based therapies targeting shared downstream pathways.</w:t>
      </w:r>
    </w:p>
    <w:p>
      <w:pPr>
        <w:pStyle w:val="ListParagraph"/>
        <w:numPr>
          <w:ilvl w:val="0"/>
          <w:numId w:val="2"/>
        </w:numPr>
        <w:spacing w:after="160"/>
      </w:pPr>
      <w:r>
        <w:rPr>
          <w:rFonts w:ascii="Arial" w:cs="Arial" w:eastAsia="Arial" w:hAnsi="Arial"/>
          <w:sz w:val="24"/>
          <w:szCs w:val="24"/>
        </w:rPr>
        <w:t xml:space="preserve">85. Using the Angelini dataset, model the potential clinical trial design (basket trial, umbrella trial, or platform trial) for testing cluster-specific therapeutics across multiple DEE genotypes within a common node, including sample size estimates based on prevalence data.</w:t>
      </w:r>
    </w:p>
    <w:p>
      <w:pPr>
        <w:pStyle w:val="Heading2"/>
      </w:pPr>
      <w:r>
        <w:rPr>
          <w:rFonts w:ascii="Arial" w:cs="Arial" w:eastAsia="Arial" w:hAnsi="Arial"/>
          <w:b/>
          <w:bCs/>
          <w:sz w:val="28"/>
          <w:szCs w:val="28"/>
        </w:rPr>
        <w:t xml:space="preserve">Section 7: Comparative &amp; Integrative Analyses</w:t>
      </w:r>
    </w:p>
    <w:p>
      <w:pPr>
        <w:pStyle w:val="ListParagraph"/>
        <w:numPr>
          <w:ilvl w:val="0"/>
          <w:numId w:val="2"/>
        </w:numPr>
        <w:spacing w:after="160"/>
      </w:pPr>
      <w:r>
        <w:rPr>
          <w:rFonts w:ascii="Arial" w:cs="Arial" w:eastAsia="Arial" w:hAnsi="Arial"/>
          <w:sz w:val="24"/>
          <w:szCs w:val="24"/>
        </w:rPr>
        <w:t xml:space="preserve">86. Compare the functional clustering results from the Angelini DEE gene screen with published functional genomics screens of epilepsy genes (e.g., Bhatt et al., Bhattacharyya et al.) to identify areas of concordance and novel insights unique to the Quiver Optopatch platform.</w:t>
      </w:r>
    </w:p>
    <w:p>
      <w:pPr>
        <w:pStyle w:val="ListParagraph"/>
        <w:numPr>
          <w:ilvl w:val="0"/>
          <w:numId w:val="2"/>
        </w:numPr>
        <w:spacing w:after="160"/>
      </w:pPr>
      <w:r>
        <w:rPr>
          <w:rFonts w:ascii="Arial" w:cs="Arial" w:eastAsia="Arial" w:hAnsi="Arial"/>
          <w:sz w:val="24"/>
          <w:szCs w:val="24"/>
        </w:rPr>
        <w:t xml:space="preserve">87. Integrate the Angelini Optopatch functional data with published MEA (multi-electrode array) electrophysiology datasets for overlapping DEE gene knockouts to determine whether the two platforms identify concordant functional phenotypes and cluster assignments.</w:t>
      </w:r>
    </w:p>
    <w:p>
      <w:pPr>
        <w:pStyle w:val="ListParagraph"/>
        <w:numPr>
          <w:ilvl w:val="0"/>
          <w:numId w:val="2"/>
        </w:numPr>
        <w:spacing w:after="160"/>
      </w:pPr>
      <w:r>
        <w:rPr>
          <w:rFonts w:ascii="Arial" w:cs="Arial" w:eastAsia="Arial" w:hAnsi="Arial"/>
          <w:sz w:val="24"/>
          <w:szCs w:val="24"/>
        </w:rPr>
        <w:t xml:space="preserve">88. Using the Angelini dataset, perform a systematic comparison of CRISPRn loss-of-function phenotypes with known human variant-level functional data (from patch clamp studies in heterologous systems) for the same genes to validate the iPSC-neuron screening platform.</w:t>
      </w:r>
    </w:p>
    <w:p>
      <w:pPr>
        <w:pStyle w:val="ListParagraph"/>
        <w:numPr>
          <w:ilvl w:val="0"/>
          <w:numId w:val="2"/>
        </w:numPr>
        <w:spacing w:after="160"/>
      </w:pPr>
      <w:r>
        <w:rPr>
          <w:rFonts w:ascii="Arial" w:cs="Arial" w:eastAsia="Arial" w:hAnsi="Arial"/>
          <w:sz w:val="24"/>
          <w:szCs w:val="24"/>
        </w:rPr>
        <w:t xml:space="preserve">89. Cross-reference the Angelini common node framework with mouse model phenotyping data from the International Mouse Phenotyping Consortium (IMPC) and MGI to assess which functional clusters are recapitulated in mouse genetic models of the same genes.</w:t>
      </w:r>
    </w:p>
    <w:p>
      <w:pPr>
        <w:pStyle w:val="ListParagraph"/>
        <w:numPr>
          <w:ilvl w:val="0"/>
          <w:numId w:val="2"/>
        </w:numPr>
        <w:spacing w:after="160"/>
      </w:pPr>
      <w:r>
        <w:rPr>
          <w:rFonts w:ascii="Arial" w:cs="Arial" w:eastAsia="Arial" w:hAnsi="Arial"/>
          <w:sz w:val="24"/>
          <w:szCs w:val="24"/>
        </w:rPr>
        <w:t xml:space="preserve">90. From the Angelini data, compare the functional fingerprints obtained in NGN2 excitatory neurons with published inhibitory neuron phenotypes for the same DEE genes (if available) to determine whether common nodes are conserved across neuronal subtypes or are cell-type specific.</w:t>
      </w:r>
    </w:p>
    <w:p>
      <w:pPr>
        <w:pStyle w:val="ListParagraph"/>
        <w:numPr>
          <w:ilvl w:val="0"/>
          <w:numId w:val="2"/>
        </w:numPr>
        <w:spacing w:after="160"/>
      </w:pPr>
      <w:r>
        <w:rPr>
          <w:rFonts w:ascii="Arial" w:cs="Arial" w:eastAsia="Arial" w:hAnsi="Arial"/>
          <w:sz w:val="24"/>
          <w:szCs w:val="24"/>
        </w:rPr>
        <w:t xml:space="preserve">91. Using the Angelini RNA-seq and Optopatch data together, build a multi-omic predictive model that uses transcriptomic features to predict functional cluster membership, enabling classification of new DEE genes without requiring functional screening.</w:t>
      </w:r>
    </w:p>
    <w:p>
      <w:pPr>
        <w:pStyle w:val="ListParagraph"/>
        <w:numPr>
          <w:ilvl w:val="0"/>
          <w:numId w:val="2"/>
        </w:numPr>
        <w:spacing w:after="160"/>
      </w:pPr>
      <w:r>
        <w:rPr>
          <w:rFonts w:ascii="Arial" w:cs="Arial" w:eastAsia="Arial" w:hAnsi="Arial"/>
          <w:sz w:val="24"/>
          <w:szCs w:val="24"/>
        </w:rPr>
        <w:t xml:space="preserve">92. Compare the Angelini compound screening hit profiles with published compound screening campaigns for epilepsy and seizure models (from ChEMBL bioactivity data) to identify novel chemical scaffolds unique to the common node approach versus known antiepileptic drug classes.</w:t>
      </w:r>
    </w:p>
    <w:p>
      <w:pPr>
        <w:pStyle w:val="ListParagraph"/>
        <w:numPr>
          <w:ilvl w:val="0"/>
          <w:numId w:val="2"/>
        </w:numPr>
        <w:spacing w:after="160"/>
      </w:pPr>
      <w:r>
        <w:rPr>
          <w:rFonts w:ascii="Arial" w:cs="Arial" w:eastAsia="Arial" w:hAnsi="Arial"/>
          <w:sz w:val="24"/>
          <w:szCs w:val="24"/>
        </w:rPr>
        <w:t xml:space="preserve">93. Using the Angelini dataset, perform a meta-analysis integrating functional cluster assignments with published genome-wide association study (GWAS) data for epilepsy and seizure susceptibility to identify common variants that modify penetrance within specific clusters.</w:t>
      </w:r>
    </w:p>
    <w:p>
      <w:pPr>
        <w:pStyle w:val="ListParagraph"/>
        <w:numPr>
          <w:ilvl w:val="0"/>
          <w:numId w:val="2"/>
        </w:numPr>
        <w:spacing w:after="160"/>
      </w:pPr>
      <w:r>
        <w:rPr>
          <w:rFonts w:ascii="Arial" w:cs="Arial" w:eastAsia="Arial" w:hAnsi="Arial"/>
          <w:sz w:val="24"/>
          <w:szCs w:val="24"/>
        </w:rPr>
        <w:t xml:space="preserve">94. From the Angelini data, evaluate whether the functional common node concept extends to non-DEE epilepsy genes by querying the broader set of epilepsy-associated genes from the Epilepsy Genetics Initiative and testing predictions from the Angelini cluster framework.</w:t>
      </w:r>
    </w:p>
    <w:p>
      <w:pPr>
        <w:pStyle w:val="ListParagraph"/>
        <w:numPr>
          <w:ilvl w:val="0"/>
          <w:numId w:val="2"/>
        </w:numPr>
        <w:spacing w:after="160"/>
      </w:pPr>
      <w:r>
        <w:rPr>
          <w:rFonts w:ascii="Arial" w:cs="Arial" w:eastAsia="Arial" w:hAnsi="Arial"/>
          <w:sz w:val="24"/>
          <w:szCs w:val="24"/>
        </w:rPr>
        <w:t xml:space="preserve">95. Cross-reference the Angelini functional clusters with published proteomics data from resected epileptic brain tissue to determine whether the molecular signatures identified in iPSC neurons are reflected in patient tissue samples from corresponding epilepsy syndromes.</w:t>
      </w:r>
    </w:p>
    <w:p>
      <w:pPr>
        <w:pStyle w:val="Heading2"/>
      </w:pPr>
      <w:r>
        <w:rPr>
          <w:rFonts w:ascii="Arial" w:cs="Arial" w:eastAsia="Arial" w:hAnsi="Arial"/>
          <w:b/>
          <w:bCs/>
          <w:sz w:val="28"/>
          <w:szCs w:val="28"/>
        </w:rPr>
        <w:t xml:space="preserve">Section 8: Platform Enhancement &amp; Future Applications</w:t>
      </w:r>
    </w:p>
    <w:p>
      <w:pPr>
        <w:pStyle w:val="ListParagraph"/>
        <w:numPr>
          <w:ilvl w:val="0"/>
          <w:numId w:val="2"/>
        </w:numPr>
        <w:spacing w:after="160"/>
      </w:pPr>
      <w:r>
        <w:rPr>
          <w:rFonts w:ascii="Arial" w:cs="Arial" w:eastAsia="Arial" w:hAnsi="Arial"/>
          <w:sz w:val="24"/>
          <w:szCs w:val="24"/>
        </w:rPr>
        <w:t xml:space="preserve">96. Using the Angelini screening data and outcomes, identify which Optopatch electrophysiology parameters are most informative for distinguishing between functional clusters and recommend an optimized parameter set for future Quiver screening campaigns in other disease areas.</w:t>
      </w:r>
    </w:p>
    <w:p>
      <w:pPr>
        <w:pStyle w:val="ListParagraph"/>
        <w:numPr>
          <w:ilvl w:val="0"/>
          <w:numId w:val="2"/>
        </w:numPr>
        <w:spacing w:after="160"/>
      </w:pPr>
      <w:r>
        <w:rPr>
          <w:rFonts w:ascii="Arial" w:cs="Arial" w:eastAsia="Arial" w:hAnsi="Arial"/>
          <w:sz w:val="24"/>
          <w:szCs w:val="24"/>
        </w:rPr>
        <w:t xml:space="preserve">97. From the Angelini dataset, perform a power analysis to determine the minimum number of replicate wells per gene target required to reliably assign functional cluster membership, informing assay design for Quiver's next-generation screening campaigns.</w:t>
      </w:r>
    </w:p>
    <w:p>
      <w:pPr>
        <w:pStyle w:val="ListParagraph"/>
        <w:numPr>
          <w:ilvl w:val="0"/>
          <w:numId w:val="2"/>
        </w:numPr>
        <w:spacing w:after="160"/>
      </w:pPr>
      <w:r>
        <w:rPr>
          <w:rFonts w:ascii="Arial" w:cs="Arial" w:eastAsia="Arial" w:hAnsi="Arial"/>
          <w:sz w:val="24"/>
          <w:szCs w:val="24"/>
        </w:rPr>
        <w:t xml:space="preserve">98. Using the lessons learned from the Angelini common node analysis, design a computational pipeline that could automatically assign newly screened genes to existing functional clusters or identify novel clusters as additional DEE genes or candidate genes are screened.</w:t>
      </w:r>
    </w:p>
    <w:p>
      <w:pPr>
        <w:pStyle w:val="ListParagraph"/>
        <w:numPr>
          <w:ilvl w:val="0"/>
          <w:numId w:val="2"/>
        </w:numPr>
        <w:spacing w:after="160"/>
      </w:pPr>
      <w:r>
        <w:rPr>
          <w:rFonts w:ascii="Arial" w:cs="Arial" w:eastAsia="Arial" w:hAnsi="Arial"/>
          <w:sz w:val="24"/>
          <w:szCs w:val="24"/>
        </w:rPr>
        <w:t xml:space="preserve">99. From the Angelini compound screening and target deconvolution data, build a reference pharmacological fingerprint database linking compound mechanism of action to Optopatch response signatures for use in future target identification and drug discovery campaigns.</w:t>
      </w:r>
    </w:p>
    <w:p>
      <w:pPr>
        <w:pStyle w:val="ListParagraph"/>
        <w:numPr>
          <w:ilvl w:val="0"/>
          <w:numId w:val="2"/>
        </w:numPr>
        <w:spacing w:after="160"/>
      </w:pPr>
      <w:r>
        <w:rPr>
          <w:rFonts w:ascii="Arial" w:cs="Arial" w:eastAsia="Arial" w:hAnsi="Arial"/>
          <w:sz w:val="24"/>
          <w:szCs w:val="24"/>
        </w:rPr>
        <w:t xml:space="preserve">100. Using the complete Angelini dataset (functional fingerprints, RNA-seq, compound screening, and target deconvolution), generate a comprehensive Target Product Profile (TPP) for the lead therapeutic candidate emerging from each common node, integrating efficacy, safety, and commercial viability assessments.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240"/>
    </w:pPr>
    <w:rPr>
      <w:rFonts w:ascii="Arial" w:cs="Arial" w:eastAsia="Arial" w:hAnsi="Arial"/>
      <w:b/>
      <w:bCs/>
      <w:sz w:val="32"/>
      <w:szCs w:val="32"/>
    </w:rPr>
  </w:style>
  <w:style w:type="paragraph" w:styleId="Heading2">
    <w:name w:val="Heading 2"/>
    <w:basedOn w:val="Normal"/>
    <w:next w:val="Normal"/>
    <w:qFormat/>
    <w:pPr>
      <w:spacing w:after="200" w:before="200"/>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2026-03-25T02:06:53.804Z</dcterms:created>
  <dcterms:modified xsi:type="dcterms:W3CDTF">2026-03-25T02:06:53.804Z</dcterms:modified>
</cp:coreProperties>
</file>

<file path=docProps/custom.xml><?xml version="1.0" encoding="utf-8"?>
<Properties xmlns="http://schemas.openxmlformats.org/officeDocument/2006/custom-properties" xmlns:vt="http://schemas.openxmlformats.org/officeDocument/2006/docPropsVTypes"/>
</file>