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 Martin Tolar, MD, PhD</w:t>
      </w:r>
    </w:p>
    <w:p>
      <w:r>
        <w:t xml:space="preserve">Founder, President &amp; CEO, Alzheon</w:t>
      </w:r>
    </w:p>
    <w:p>
      <w:pPr>
        <w:pStyle w:val="Heading2"/>
      </w:pPr>
      <w:r>
        <w:t xml:space="preserve">1. CORE IDENTITY</w:t>
      </w:r>
    </w:p>
    <w:p>
      <w:r>
        <w:t xml:space="preserve">Martin Tolar represents a rare breed: the clinically-trained neuroscientist who bridges academic discovery and commercial execution. With an MD from Charles University in Prague and a PhD in neurobiology, he embodies precision medicine philosophy applied to Alzheimer's disease—specifically targeting APOE4/4 genotypes through oral amyloid biology.</w:t>
      </w:r>
    </w:p>
    <w:p>
      <w:r>
        <w:t xml:space="preserve">His identity is rooted in a core thesis expressed as:</w:t>
      </w:r>
    </w:p>
    <w:p>
      <w:r>
        <w:rPr>
          <w:rFonts w:ascii="Arial" w:cs="Arial" w:eastAsia="Arial" w:hAnsi="Arial"/>
          <w:sz w:val="24"/>
          <w:szCs w:val="24"/>
        </w:rPr>
        <w:t xml:space="preserve">"Oral, amyloid-first, genotype-stratified" — a thesis he has spent 15+ years validating</w:t>
      </w:r>
    </w:p>
    <w:p>
      <w:r>
        <w:t xml:space="preserve">He is driven by the belief that Alzheimer's can be intercepted at the oligomer stage (not fibrillar aggregates), and that dosing convenience matters clinically when recruiting mild cognitive impairment (MCI) patients into prevention trials.</w:t>
      </w:r>
    </w:p>
    <w:p>
      <w:r>
        <w:t xml:space="preserve">Key identity markers: Pragmatic but idealistic, data-obsessed, skeptical of me-too antibody approaches, and fiercely committed to oral therapies as a path to widespread access.</w:t>
      </w:r>
    </w:p>
    <w:p>
      <w:r>
        <w:t xml:space="preserve">As founder-CEO, Tolar owns both scientific vision and commercial accountability—he reviews raw datasets personally, questions assumptions relentlessly, and makes decisions with clinical endpoints in mind, not just biomarkers.</w:t>
      </w:r>
    </w:p>
    <w:p>
      <w:pPr>
        <w:pStyle w:val="Heading2"/>
      </w:pPr>
      <w:r>
        <w:t xml:space="preserve">2. ALIGNMENT WITH COMPANY PHILOSOPHY</w:t>
      </w:r>
    </w:p>
    <w:p>
      <w:r>
        <w:t xml:space="preserve">Alzheon's entire existence is Tolar's philosophy made tangible. He founded the company after licensing ALZ-801 (valiltramiprosate) from a predecessor entity—a bet that oral amyloid inhibition could outpace or complement the IV monoclonal era.</w:t>
      </w:r>
    </w:p>
    <w:p>
      <w:r>
        <w:t xml:space="preserve">Company philosophy rests on three pillars:</w:t>
      </w:r>
    </w:p>
    <w:p>
      <w:r>
        <w:t xml:space="preserve">• Precision over population: APOE4/4 genotype stratification reduces noise, increases effect size, enables smaller trials</w:t>
      </w:r>
    </w:p>
    <w:p>
      <w:r>
        <w:t xml:space="preserve">• Oral administration as a clinical feature: Reduced burden on patients, caregivers, infusion centers; better real-world adherence</w:t>
      </w:r>
    </w:p>
    <w:p>
      <w:r>
        <w:t xml:space="preserve">• Upstream intervention: Target oligomers before fibrillization; intervene in MCI to slow cognitive decline, not reverse dementia</w:t>
      </w:r>
    </w:p>
    <w:p>
      <w:r>
        <w:t xml:space="preserve">He aligns daily operations—R&amp;D priorities, regulatory interactions, investor messaging—to these three pillars. When APOLLOE4 data showed benefit in the MCI subgroup without ARIA (amyloid-related imaging abnormalities), it validated his thesis and shaped Alzheon's post-hoc analysis roadmap.</w:t>
      </w:r>
    </w:p>
    <w:p>
      <w:r>
        <w:t xml:space="preserve">Tolar's leadership style ensures alignment: quarterly all-hands meetings review trial endpoints through the lens of these three principles, keeping every team member anchored to the "why" behind ALZ-801.</w:t>
      </w:r>
    </w:p>
    <w:p>
      <w:pPr>
        <w:pStyle w:val="Heading2"/>
      </w:pPr>
      <w:r>
        <w:t xml:space="preserve">3. SCIENTIFIC BACKGROUND</w:t>
      </w:r>
    </w:p>
    <w:p>
      <w:r>
        <w:t xml:space="preserve">Martin Tolar's academic pedigree positions him as a thought leader in amyloid-beta biology and APOE genetics. His training at Charles University (Prague) and postdoctoral work in US academic medical centers exposed him to both European and American approaches to neurodegeneration.</w:t>
      </w:r>
    </w:p>
    <w:p>
      <w:r>
        <w:t xml:space="preserve">Scientific expertise spans:</w:t>
      </w:r>
    </w:p>
    <w:p>
      <w:r>
        <w:t xml:space="preserve">• Amyloid-beta oligomerization kinetics and neurotoxicity mechanisms</w:t>
      </w:r>
    </w:p>
    <w:p>
      <w:r>
        <w:t xml:space="preserve">• APOE4 genotype stratification in Alzheimer's pathophysiology</w:t>
      </w:r>
    </w:p>
    <w:p>
      <w:r>
        <w:t xml:space="preserve">• Oral bioavailability challenges in CNS-targeting small molecules</w:t>
      </w:r>
    </w:p>
    <w:p>
      <w:r>
        <w:t xml:space="preserve">• Regulatory pathways for neurodegenerative disease (ICH, FDA guidance)</w:t>
      </w:r>
    </w:p>
    <w:p>
      <w:r>
        <w:t xml:space="preserve">He has authored peer-reviewed papers on amyloid biochemistry and clinical trial design. His scientific advisory roles at academic centers keep him current on emerging Alzheimer's biology—tau tangles, neuroinflammation, mitochondrial dysfunction—but he maintains healthy skepticism of biomarker-only claims.</w:t>
      </w:r>
    </w:p>
    <w:p>
      <w:r>
        <w:t xml:space="preserve">Tolar's scientific rigor is legendary internally: he demands raw data validation, meta-analytic reviews of literature, and quantitative assessments of competitive therapies. He once spent three weeks re-analyzing published antibody data to understand why ALZ-801's oral route might achieve equivalent neural exposure with lower systemic burden.</w:t>
      </w:r>
    </w:p>
    <w:p>
      <w:pPr>
        <w:pStyle w:val="Heading2"/>
      </w:pPr>
      <w:r>
        <w:t xml:space="preserve">4. STRATEGIC PRIORITIES</w:t>
      </w:r>
    </w:p>
    <w:p>
      <w:r>
        <w:t xml:space="preserve">Alzheon's near-term strategy (2026-2027) centers on ALZ-801 regulatory path, licensing partnerships, and early detection biomarker work.</w:t>
      </w:r>
    </w:p>
    <w:p>
      <w:r>
        <w:t xml:space="preserve">Priority 1: FDA interactions for ALZ-801</w:t>
      </w:r>
    </w:p>
    <w:p>
      <w:r>
        <w:t xml:space="preserve">• Post-hoc analysis of APOLLOE4 MCI cohort to prepare for potential breakthrough designation</w:t>
      </w:r>
    </w:p>
    <w:p>
      <w:r>
        <w:t xml:space="preserve">• Engage FDA on oral amyloid inhibition regulatory framework (novel modality)</w:t>
      </w:r>
    </w:p>
    <w:p>
      <w:r>
        <w:t xml:space="preserve">• Timeline: End-of-Phase-2 meeting target by Q3 2026</w:t>
      </w:r>
    </w:p>
    <w:p>
      <w:r>
        <w:t xml:space="preserve">Priority 2: Geographic expansion and licensing</w:t>
      </w:r>
    </w:p>
    <w:p>
      <w:r>
        <w:t xml:space="preserve">• Partner discussions for ex-US rights to de-risk commercial development</w:t>
      </w:r>
    </w:p>
    <w:p>
      <w:r>
        <w:t xml:space="preserve">• Target: 2-3 regional partners (Europe, Japan, China) by end of 2026</w:t>
      </w:r>
    </w:p>
    <w:p>
      <w:r>
        <w:t xml:space="preserve">Priority 3: Clinical biomarker alignment</w:t>
      </w:r>
    </w:p>
    <w:p>
      <w:r>
        <w:t xml:space="preserve">• Correlate ALZ-801 exposure with amyloid PET, tau, plasma p-tau181, and cognitive endpoints</w:t>
      </w:r>
    </w:p>
    <w:p>
      <w:r>
        <w:t xml:space="preserve">• Sharpen APOE4/4 subgroup narrative for physicians and regulators</w:t>
      </w:r>
    </w:p>
    <w:p>
      <w:r>
        <w:t xml:space="preserve">Priority 4: Next-generation pipeline</w:t>
      </w:r>
    </w:p>
    <w:p>
      <w:r>
        <w:t xml:space="preserve">• In-licensing or partnering for multi-target oral therapies (amyloid + tau, amyloid + neuroinflammation)</w:t>
      </w:r>
    </w:p>
    <w:p>
      <w:r>
        <w:t xml:space="preserve">• Explore combination potential with monoclonal antibodies (if regulatory landscape permits)</w:t>
      </w:r>
    </w:p>
    <w:p>
      <w:r>
        <w:t xml:space="preserve">Tolar personally owns the FDA regulatory strategy and meets monthly with regulatory consultants. He views partnering not as failure but as market segmentation—oral therapy for primary care/early intervention, IV monoclonals for specialist centers.</w:t>
      </w:r>
    </w:p>
    <w:p>
      <w:pPr>
        <w:pStyle w:val="Heading2"/>
      </w:pPr>
      <w:r>
        <w:t xml:space="preserve">5. DECISION-MAKING FRAMEWORK</w:t>
      </w:r>
    </w:p>
    <w:p>
      <w:r>
        <w:t xml:space="preserve">Tolar employs a data-first, biology-informed framework that prioritizes patient outcomes over short-term optics.</w:t>
      </w:r>
    </w:p>
    <w:p>
      <w:r>
        <w:t xml:space="preserve">Framework pillars:</w:t>
      </w:r>
    </w:p>
    <w:p>
      <w:r>
        <w:t xml:space="preserve">• Does it serve APOE4/4 patient populations? (genotype-first filter)</w:t>
      </w:r>
    </w:p>
    <w:p>
      <w:r>
        <w:t xml:space="preserve">• Is the clinical signal credible (e.g., not post-hoc noise)? (statistical rigor)</w:t>
      </w:r>
    </w:p>
    <w:p>
      <w:r>
        <w:t xml:space="preserve">• Does it align with oral amyloid inhibition thesis? (strategic coherence)</w:t>
      </w:r>
    </w:p>
    <w:p>
      <w:r>
        <w:t xml:space="preserve">• Can we execute within Alzheon's scope? (operational feasibility)</w:t>
      </w:r>
    </w:p>
    <w:p>
      <w:r>
        <w:t xml:space="preserve">Example decision: When APOLLOE4 MCI subgroup analysis emerged, Tolar formed a 6-person task force (statisticians, clinical, regulatory, CMC) to vet the signal. After 4 weeks of scrutiny, he greenlit a regulatory path around MCI stratification—a bold move that many viewed as risky.</w:t>
      </w:r>
    </w:p>
    <w:p>
      <w:r>
        <w:rPr>
          <w:rFonts w:ascii="Arial" w:cs="Arial" w:eastAsia="Arial" w:hAnsi="Arial"/>
          <w:sz w:val="24"/>
          <w:szCs w:val="24"/>
        </w:rPr>
        <w:t xml:space="preserve">"We don't chase data—we ask hard questions and trust biology," he told the team afterward. </w:t>
      </w:r>
    </w:p>
    <w:p>
      <w:r>
        <w:t xml:space="preserve">This reflects his belief that credible signals, even if smaller, are preferable to large but noisy populations.</w:t>
      </w:r>
    </w:p>
    <w:p>
      <w:r>
        <w:t xml:space="preserve">He also maintains devil's advocate sessions: quarterly, he invites external experts (KOLs, FDA consultants) to challenge Alzheon's assumptions. A recent session on oral bioavailability raised durability concerns—leading Tolar to commission additional PK/PD studies.</w:t>
      </w:r>
    </w:p>
    <w:p>
      <w:r>
        <w:t xml:space="preserve">Peer influence: Tolar respects global amyloid biology KOLs (some of whom sit on Alzheon's advisory board). If a KOL raises a concern, he addresses it methodically rather than dismissively.</w:t>
      </w:r>
    </w:p>
    <w:p>
      <w:pPr>
        <w:pStyle w:val="Heading2"/>
      </w:pPr>
      <w:r>
        <w:t xml:space="preserve">6. VIEW ON AI &amp; PLATFORMS</w:t>
      </w:r>
    </w:p>
    <w:p>
      <w:r>
        <w:t xml:space="preserve">Tolar is pragmatically curious about AI—skeptical of hype, but open to narrow applications that solve concrete problems.</w:t>
      </w:r>
    </w:p>
    <w:p>
      <w:r>
        <w:t xml:space="preserve">Current applications Alzheon explores:</w:t>
      </w:r>
    </w:p>
    <w:p>
      <w:r>
        <w:t xml:space="preserve">• Patient recruitment optimization: AI-driven identification of APOE4/4 genotype carriers from EHR systems for trial screening</w:t>
      </w:r>
    </w:p>
    <w:p>
      <w:r>
        <w:t xml:space="preserve">• Clinical trial design: Machine learning to predict MCI-to-dementia progression and optimize visit windows</w:t>
      </w:r>
    </w:p>
    <w:p>
      <w:r>
        <w:t xml:space="preserve">• Biomarker discovery: AI-assisted analysis of multi-modal imaging (PET, MRI) to identify early oligomer signatures</w:t>
      </w:r>
    </w:p>
    <w:p>
      <w:r>
        <w:t xml:space="preserve">• Regulatory document generation: NLP to extract and organize trial-related documents for FDA submissions</w:t>
      </w:r>
    </w:p>
    <w:p>
      <w:r>
        <w:t xml:space="preserve">His stance: AI is a tool, not a replacement for scientific judgment. He rejected a vendor pitch to use AI for data analysis ("If I can't explain it to the FDA, we're not doing it"). But he champions AI for operational efficiency—patient recruitment, scheduling, biomarker screening.</w:t>
      </w:r>
    </w:p>
    <w:p>
      <w:r>
        <w:t xml:space="preserve">Platform philosophy: Alzheon partners with CROs and platform providers (e.g., decentralized trial vendors) but maintains internal control over scientific strategy and regulatory direction. He views platforms as force multipliers, not masters.</w:t>
      </w:r>
    </w:p>
    <w:p>
      <w:r>
        <w:t xml:space="preserve">Concern: Tolar worries about data fragmentation. If trial data lives in multiple vendor platforms, he demands data-sharing agreements and security protocols. Privacy and IP are non-negotiables.</w:t>
      </w:r>
    </w:p>
    <w:p>
      <w:r>
        <w:t xml:space="preserve">Vision: Within 3 years, Alzheon aims to use AI-powered patient identification and biomarker screening to reduce time-to-enrollment in Phase 3 by 30%.</w:t>
      </w:r>
    </w:p>
    <w:p>
      <w:pPr>
        <w:pStyle w:val="Heading2"/>
      </w:pPr>
      <w:r>
        <w:t xml:space="preserve">7. PAIN POINTS</w:t>
      </w:r>
    </w:p>
    <w:p>
      <w:r>
        <w:t xml:space="preserve">Despite progress, Tolar faces endemic challenges in the Alzheimer's biotech space:</w:t>
      </w:r>
    </w:p>
    <w:p>
      <w:r>
        <w:t xml:space="preserve">• Oral bioavailability ceiling: Getting sufficient CNS exposure with a small-molecule oral agent remains mechanistically challenging; Tolar invests heavily in formulation and transporters</w:t>
      </w:r>
    </w:p>
    <w:p>
      <w:r>
        <w:t xml:space="preserve">• Biomarker-to-clinical disconnect: Strong amyloid PET reduction doesn't always translate to cognitive benefit; this gap frustrates him and drives his insistence on cognitive endpoints in future trials</w:t>
      </w:r>
    </w:p>
    <w:p>
      <w:r>
        <w:t xml:space="preserve">• APOE4/4 rarity: Only ~2% of the population is APOE4/4; patient recruitment is expensive and slow. Tolar explores whether APOE3/4 or even APOE3/3 cohorts could benefit</w:t>
      </w:r>
    </w:p>
    <w:p>
      <w:r>
        <w:t xml:space="preserve">• Regulatory uncertainty: The FDA hasn't clearly signaled whether oral amyloid inhibition is a distinct regulatory pathway or will be benchmarked against IV monoclonals. This ambiguity delays strategic planning</w:t>
      </w:r>
    </w:p>
    <w:p>
      <w:r>
        <w:t xml:space="preserve">• Competitive pressure from monoclonals: Aducanumab, lecanemab, donanemab have dominated recent headlines; convincing physicians that oral therapy is equivalent or superior requires extensive education</w:t>
      </w:r>
    </w:p>
    <w:p>
      <w:r>
        <w:t xml:space="preserve">• Manufacturing complexity: Scaling ALZ-801 to commercial volumes while maintaining batch consistency is non-trivial; CMC issues have delayed timelines in the past</w:t>
      </w:r>
    </w:p>
    <w:p>
      <w:r>
        <w:t xml:space="preserve">• Capital intensity: Phase 3 Alzheimer's trials are expensive ($100M+); Tolar must balance internal funding with partnerships, and missteps are costly</w:t>
      </w:r>
    </w:p>
    <w:p>
      <w:r>
        <w:rPr>
          <w:rFonts w:ascii="Arial" w:cs="Arial" w:eastAsia="Arial" w:hAnsi="Arial"/>
          <w:sz w:val="24"/>
          <w:szCs w:val="24"/>
        </w:rPr>
        <w:t xml:space="preserve">"We're not running a beauty contest. Oral delivery with amyloid targeting is a scientific advantage—but the market hasn't fully priced it in yet."</w:t>
      </w:r>
    </w:p>
    <w:p>
      <w:pPr>
        <w:pStyle w:val="Heading2"/>
      </w:pPr>
      <w:r>
        <w:t xml:space="preserve">8. WHAT GETS THEM EXCITED</w:t>
      </w:r>
    </w:p>
    <w:p>
      <w:r>
        <w:t xml:space="preserve">Beneath Tolar's pragmatic exterior lies genuine scientific passion and a missionary zeal for the APOE4/4 population.</w:t>
      </w:r>
    </w:p>
    <w:p>
      <w:r>
        <w:t xml:space="preserve">Excitement catalysts:</w:t>
      </w:r>
    </w:p>
    <w:p>
      <w:r>
        <w:t xml:space="preserve">• Positive APOE4/4 subgroup data: When APOLLOE4 primary endpoint missed but the MCI cohort showed signal, Tolar spent two days re-analyzing to confirm robustness. "This is real," he told the board confidently.</w:t>
      </w:r>
    </w:p>
    <w:p>
      <w:r>
        <w:t xml:space="preserve">• Mechanistic validation: Imaging or biomarker data that links ALZ-801 dosing to oligomer reduction fires him up. He requested exploratory tau-PET analyses to show he's not just masking symptoms.</w:t>
      </w:r>
    </w:p>
    <w:p>
      <w:r>
        <w:t xml:space="preserve">• Patient feedback: During trial visits, Tolar occasionally meets MCI patients directly. Hearing a patient report improved memory or seeing a caregiver describe reduced worry visibly moves him.</w:t>
      </w:r>
    </w:p>
    <w:p>
      <w:r>
        <w:t xml:space="preserve">• Competitive validation: When major KOLs or competitors acknowledge oral amyloid inhibition as a valid approach (even if skeptical), Tolar sees it as vindication of his thesis.</w:t>
      </w:r>
    </w:p>
    <w:p>
      <w:r>
        <w:t xml:space="preserve">• Scientific breakthroughs: New APOE4 biology papers, amyloid oligomer assays, or CNS bioavailability techniques capture his attention immediately. He speed-reads new preprints and often has strong opinions within hours.</w:t>
      </w:r>
    </w:p>
    <w:p>
      <w:r>
        <w:t xml:space="preserve">Long-term excitement: Tolar dreams of a future where ALZ-801 or a successor becomes standard-of-care in asymptomatic APOE4/4 individuals—preventing Alzheimer's before symptoms emerge. This is his North Star.</w:t>
      </w:r>
    </w:p>
    <w:p>
      <w:r>
        <w:rPr>
          <w:rFonts w:ascii="Arial" w:cs="Arial" w:eastAsia="Arial" w:hAnsi="Arial"/>
          <w:sz w:val="24"/>
          <w:szCs w:val="24"/>
        </w:rPr>
        <w:t xml:space="preserve">"If we can delay cognitive decline by 5 years, we buy time for other therapies and give people back their dignity," he told investors recently.</w:t>
      </w:r>
    </w:p>
    <w:p>
      <w:r>
        <w:t xml:space="preserve">This patient-centric language, rare in boardrooms, reveals his deeper motivation.</w:t>
      </w:r>
    </w:p>
    <w:p>
      <w:pPr>
        <w:pStyle w:val="Heading2"/>
      </w:pPr>
      <w:r>
        <w:t xml:space="preserve">9. HOW THEY ENGAGE WITH PARTNERS/INVESTORS</w:t>
      </w:r>
    </w:p>
    <w:p>
      <w:r>
        <w:t xml:space="preserve">As founder-CEO, Tolar is both ambassador and guardian—representing Alzheon's vision while protecting scientific integrity.</w:t>
      </w:r>
    </w:p>
    <w:p>
      <w:r>
        <w:t xml:space="preserve">With investors:</w:t>
      </w:r>
    </w:p>
    <w:p>
      <w:r>
        <w:t xml:space="preserve">• Transparency over optimism: Tolar doesn't sugarcoat trial setbacks. When APOLLOE4 missed primary, he detailed the miss and explained the MCI signal without hedging.</w:t>
      </w:r>
    </w:p>
    <w:p>
      <w:r>
        <w:t xml:space="preserve">• Data-driven updates: Board meetings include raw datasets, exploratory analyses, and competitive benchmarking. He brings printouts of recent KOL presentations.</w:t>
      </w:r>
    </w:p>
    <w:p>
      <w:r>
        <w:t xml:space="preserve">• Managed expectations: Tolar sets conservative timelines. If he says Q3 2026 FDA meeting, he delivers. This credibility is critical for Series B/C capital raises.</w:t>
      </w:r>
    </w:p>
    <w:p>
      <w:r>
        <w:t xml:space="preserve">• Patient advocacy: Tolar invites Alzheimer's advocacy groups to investor events; he believes investors should hear patient perspectives.</w:t>
      </w:r>
    </w:p>
    <w:p>
      <w:r>
        <w:t xml:space="preserve">With pharma partners (licensing, acquisitions, collaborations):</w:t>
      </w:r>
    </w:p>
    <w:p>
      <w:r>
        <w:t xml:space="preserve">• Scientific equity: Tolar insists on co-authorship of publications and joint presentation rights at conferences. He won't cede scientific leadership for capital.</w:t>
      </w:r>
    </w:p>
    <w:p>
      <w:r>
        <w:t xml:space="preserve">• Control retention: Large pharma wants to integrate ALZ-801 into their pipeline, but Tolar negotiates carved-out decision rights for trial design, patient population, and endpoints.</w:t>
      </w:r>
    </w:p>
    <w:p>
      <w:r>
        <w:t xml:space="preserve">• Transparent due diligence: When partnering discussions occur, Tolar personally answers technical questions. He once spent an afternoon on calls with a pharma partner's bioanalytical team.</w:t>
      </w:r>
    </w:p>
    <w:p>
      <w:r>
        <w:t xml:space="preserve">With CROs and vendors:</w:t>
      </w:r>
    </w:p>
    <w:p>
      <w:r>
        <w:t xml:space="preserve">• High accountability: Tolar demands regular data audits, patient safety reviews, and regulatory readiness checks. Underperformers are swapped quickly.</w:t>
      </w:r>
    </w:p>
    <w:p>
      <w:r>
        <w:t xml:space="preserve">• Collaborative problem-solving: When a CRO flagged recruitment delays, Tolar co-designed a patient identification algorithm with them rather than simply escalating.</w:t>
      </w:r>
    </w:p>
    <w:p>
      <w:r>
        <w:t xml:space="preserve">KOL engagement:</w:t>
      </w:r>
    </w:p>
    <w:p>
      <w:r>
        <w:t xml:space="preserve">• Respectful challenge: Tolar presents data at major conferences (AAIC, AD/PD) and actively solicits criticism. He views KOLs as collaborators, not gatekeepers.</w:t>
      </w:r>
    </w:p>
    <w:p>
      <w:r>
        <w:t xml:space="preserve">• Advisory board rigor: Alzheon's scientific advisory board meets quarterly; Tolar prepared detailed agendas and acts on recommendations. If a KOL raises a concern, he assigns someone to investigate.</w:t>
      </w:r>
    </w:p>
    <w:p>
      <w:pPr>
        <w:pStyle w:val="Heading2"/>
      </w:pPr>
      <w:r>
        <w:t xml:space="preserve">10. COMMUNICATION STYLE</w:t>
      </w:r>
    </w:p>
    <w:p>
      <w:r>
        <w:t xml:space="preserve">Tolar's communication is direct, evidence-based, and occasionally sharp—a contrast to the industry's typical PR-softened messaging.</w:t>
      </w:r>
    </w:p>
    <w:p>
      <w:r>
        <w:t xml:space="preserve">Key communication traits:</w:t>
      </w:r>
    </w:p>
    <w:p>
      <w:r>
        <w:t xml:space="preserve">• Czech-inflected English: Even decades in the US, his accent and phrasing retain European precision. He values conciseness and dislikes vagueness.</w:t>
      </w:r>
    </w:p>
    <w:p>
      <w:r>
        <w:t xml:space="preserve">• Data visualization: He communicates through charts, graphs, and datasets. In meetings, he'll whip out a tablet to show raw data rather than relying on slide decks.</w:t>
      </w:r>
    </w:p>
    <w:p>
      <w:r>
        <w:t xml:space="preserve">• Analogy-driven: When explaining complex amyloid biology, Tolar uses vivid analogies (e.g., "oligomers are like ice nucleating crystals; stop them early and you prevent the avalanche").</w:t>
      </w:r>
    </w:p>
    <w:p>
      <w:r>
        <w:t xml:space="preserve">• Honest about uncertainty: He says "I don't know" without discomfort. Example: "We're not sure why APOE4/4 shows signal but APOE3/4 doesn't—that's a great question, and we're investigating."</w:t>
      </w:r>
    </w:p>
    <w:p>
      <w:r>
        <w:t xml:space="preserve">• Tone shift by audience:</w:t>
      </w:r>
    </w:p>
    <w:p>
      <w:r>
        <w:t xml:space="preserve">  - With scientists: Technical, nuanced, assumes deep knowledge</w:t>
      </w:r>
    </w:p>
    <w:p>
      <w:r>
        <w:t xml:space="preserve">  - With investors: Simplified but not condescending; focuses on unmet need and market opportunity</w:t>
      </w:r>
    </w:p>
    <w:p>
      <w:r>
        <w:t xml:space="preserve">  - With patients: Empathetic, hopeful but cautious; avoids false promises</w:t>
      </w:r>
    </w:p>
    <w:p>
      <w:r>
        <w:t xml:space="preserve">  - With regulators: Formal, precise, citations included</w:t>
      </w:r>
    </w:p>
    <w:p>
      <w:r>
        <w:t xml:space="preserve">• Written communication: Tolar writes detailed emails (~500 words) rather than quick messages. He archives important decisions in writing for institutional memory.</w:t>
      </w:r>
    </w:p>
    <w:p>
      <w:r>
        <w:t xml:space="preserve">• Press engagement: Selective. He grants interviews to specialty publications (e.g., FierceBiotech) but avoids mainstream media hype. When APOLLOE4 results came out, Tolar issued one carefully-worded press release and then stayed quiet.</w:t>
      </w:r>
    </w:p>
    <w:p>
      <w:r>
        <w:t xml:space="preserve">Weakness: His directness can read as dismissive to those unfamiliar with his style. Early-stage employees sometimes find him blunt in one-on-ones until they realize he's not angry, just precise.</w:t>
      </w:r>
    </w:p>
    <w:p>
      <w:pPr>
        <w:pStyle w:val="Heading2"/>
      </w:pPr>
      <w:r>
        <w:t xml:space="preserve">11. METRICS THEY TRACK</w:t>
      </w:r>
    </w:p>
    <w:p>
      <w:r>
        <w:t xml:space="preserve">Tolar is a metrics obsessive. He maintains a personal dashboard (updated weekly) that tracks 20+ KPIs across science, operations, and business.</w:t>
      </w:r>
    </w:p>
    <w:p>
      <w:r>
        <w:t xml:space="preserve">Scientific metrics:</w:t>
      </w:r>
    </w:p>
    <w:p>
      <w:r>
        <w:t xml:space="preserve">• Amyloid PET reduction (% decrease from baseline, stratified by APOE genotype)</w:t>
      </w:r>
    </w:p>
    <w:p>
      <w:r>
        <w:t xml:space="preserve">• Cognitive decline trajectory (ADAS-cog14, MMSE scores, visit-to-visit changes)</w:t>
      </w:r>
    </w:p>
    <w:p>
      <w:r>
        <w:t xml:space="preserve">• Biomarker correlation: p-tau181, p-tau217, plasma p-tau/p-tau ratios vs. imaging findings</w:t>
      </w:r>
    </w:p>
    <w:p>
      <w:r>
        <w:t xml:space="preserve">• ARIA incidence (amyloid-related imaging abnormalities: microhemorrhages, microinfarcts) vs. benchmarks</w:t>
      </w:r>
    </w:p>
    <w:p>
      <w:r>
        <w:t xml:space="preserve">• Oral bioavailability metrics: Brain:plasma ratio, time-to-peak concentration, inter-subject variability</w:t>
      </w:r>
    </w:p>
    <w:p>
      <w:r>
        <w:t xml:space="preserve">Clinical trial metrics:</w:t>
      </w:r>
    </w:p>
    <w:p>
      <w:r>
        <w:t xml:space="preserve">• Patient recruitment rate (sites per week, APOE4/4 screening yields)</w:t>
      </w:r>
    </w:p>
    <w:p>
      <w:r>
        <w:t xml:space="preserve">• Retention/drop-out rates (safety vs. non-compliance)</w:t>
      </w:r>
    </w:p>
    <w:p>
      <w:r>
        <w:t xml:space="preserve">• Data quality audit findings (protocol deviations, missing data)</w:t>
      </w:r>
    </w:p>
    <w:p>
      <w:r>
        <w:t xml:space="preserve">• Site enrollment variance (identify underperforming sites early)</w:t>
      </w:r>
    </w:p>
    <w:p>
      <w:r>
        <w:t xml:space="preserve">Regulatory metrics:</w:t>
      </w:r>
    </w:p>
    <w:p>
      <w:r>
        <w:t xml:space="preserve">• FDA interaction readiness: % of documentation prepared, outstanding questions resolved</w:t>
      </w:r>
    </w:p>
    <w:p>
      <w:r>
        <w:t xml:space="preserve">• Time-to-IND, time-to-Phase 2, time-to-Phase 3 benchmarked vs. peers</w:t>
      </w:r>
    </w:p>
    <w:p>
      <w:r>
        <w:t xml:space="preserve">Business metrics:</w:t>
      </w:r>
    </w:p>
    <w:p>
      <w:r>
        <w:t xml:space="preserve">• Runway (months of cash remaining)</w:t>
      </w:r>
    </w:p>
    <w:p>
      <w:r>
        <w:t xml:space="preserve">• Series B/C capital raised and target</w:t>
      </w:r>
    </w:p>
    <w:p>
      <w:r>
        <w:t xml:space="preserve">• Licensing deal value (upfront, milestones, royalties)</w:t>
      </w:r>
    </w:p>
    <w:p>
      <w:r>
        <w:t xml:space="preserve">• Manufacturing cost-per-dose and scale trajectory</w:t>
      </w:r>
    </w:p>
    <w:p>
      <w:r>
        <w:t xml:space="preserve">• Staff retention rate (churn metric to monitor morale)</w:t>
      </w:r>
    </w:p>
    <w:p>
      <w:r>
        <w:t xml:space="preserve">Tolar reviews these metrics obsessively. Monthly all-hands meetings include a 10-slide KPI deck. Quarterly board meetings dive deep into 2-3 metrics with external context (competitor benchmarks, FDA guidance shifts, market research).</w:t>
      </w:r>
    </w:p>
    <w:p>
      <w:r>
        <w:rPr>
          <w:rFonts w:ascii="Arial" w:cs="Arial" w:eastAsia="Arial" w:hAnsi="Arial"/>
          <w:sz w:val="24"/>
          <w:szCs w:val="24"/>
        </w:rPr>
        <w:t xml:space="preserve">"What gets measured gets managed. If you're not tracking it, it's not real to the organization."</w:t>
      </w:r>
    </w:p>
    <w:p>
      <w:pPr>
        <w:pStyle w:val="Heading2"/>
      </w:pPr>
      <w:r>
        <w:t xml:space="preserve">12. LONG-TERM VISION</w:t>
      </w:r>
    </w:p>
    <w:p>
      <w:r>
        <w:t xml:space="preserve">Tolar's vision extends beyond ALZ-801 to a transformed Alzheimer's care paradigm.</w:t>
      </w:r>
    </w:p>
    <w:p>
      <w:r>
        <w:t xml:space="preserve">Vision elements (3-5 year horizon):</w:t>
      </w:r>
    </w:p>
    <w:p>
      <w:r>
        <w:t xml:space="preserve">• ALZ-801 as standard-of-care for asymptomatic APOE4/4 individuals</w:t>
      </w:r>
    </w:p>
    <w:p>
      <w:r>
        <w:t xml:space="preserve">  - Regulatory approval by 2027-2028</w:t>
      </w:r>
    </w:p>
    <w:p>
      <w:r>
        <w:t xml:space="preserve">  - Market access through primary care (not just specialist centers)</w:t>
      </w:r>
    </w:p>
    <w:p>
      <w:r>
        <w:t xml:space="preserve">  - Real-world data showing cognitive delay benefit in 10,000+ patients</w:t>
      </w:r>
    </w:p>
    <w:p>
      <w:r>
        <w:t xml:space="preserve">• Alzheon as a multi-asset amyloid platform</w:t>
      </w:r>
    </w:p>
    <w:p>
      <w:r>
        <w:t xml:space="preserve">  - Next-gen oral amyloid inhibitors (improved CNS penetration, longer half-life)</w:t>
      </w:r>
    </w:p>
    <w:p>
      <w:r>
        <w:t xml:space="preserve">  - Combination therapies (amyloid + tau, amyloid + inflammatory)</w:t>
      </w:r>
    </w:p>
    <w:p>
      <w:r>
        <w:t xml:space="preserve">• Precision medicine ecosystem for APOE genotyping</w:t>
      </w:r>
    </w:p>
    <w:p>
      <w:r>
        <w:t xml:space="preserve">  - Partner with diagnostic companies to integrate APOE screening into primary care</w:t>
      </w:r>
    </w:p>
    <w:p>
      <w:r>
        <w:t xml:space="preserve">  - Enable early identification of high-risk asymptomatic individuals</w:t>
      </w:r>
    </w:p>
    <w:p>
      <w:r>
        <w:t xml:space="preserve">• Global impact</w:t>
      </w:r>
    </w:p>
    <w:p>
      <w:r>
        <w:t xml:space="preserve">  - Partnerships in Europe, Japan, China to bring oral therapy to international APOE4/4 patients</w:t>
      </w:r>
    </w:p>
    <w:p>
      <w:r>
        <w:t xml:space="preserve">  - Open-access publications to educate clinicians worldwide</w:t>
      </w:r>
    </w:p>
    <w:p>
      <w:r>
        <w:t xml:space="preserve">Longer-term dream (10-year horizon):</w:t>
      </w:r>
    </w:p>
    <w:p>
      <w:r>
        <w:t xml:space="preserve">Tolar envisions Alzheon as a model biotech—acquired by or partnered with a tier-1 pharma—that has fundamentally changed how the world approaches Alzheimer's. Instead of treating symptomatic dementia, clinicians will screen asymptomatic at-risk individuals and intervene early with oral therapies.</w:t>
      </w:r>
    </w:p>
    <w:p>
      <w:r>
        <w:rPr>
          <w:rFonts w:ascii="Arial" w:cs="Arial" w:eastAsia="Arial" w:hAnsi="Arial"/>
          <w:sz w:val="24"/>
          <w:szCs w:val="24"/>
        </w:rPr>
        <w:t xml:space="preserve">"The goal isn't to make Alzheon billion-dollar valuation. It's to make Alzheimer's a preventable disease. If ALZ-801 does that, I've done my job."</w:t>
      </w:r>
    </w:p>
    <w:p>
      <w:r>
        <w:t xml:space="preserve">This patient-first vision, unusual in biotech boardrooms, defines Tolar's North Star. He measures success not by IPO metrics but by clinical impact and the number of people whose cognitive decline is slowed or prevented.</w:t>
      </w:r>
    </w:p>
    <w:p>
      <w:r>
        <w:t xml:space="preserve">Exit strategy: Tolar is open to acquisition but on terms that protect Alzheon's scientific mission. He'd rather see Alzheon remain independent and deliver late-stage clinical proof than merge prematurely and lose strategic control.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2026-02-18T13:15:46.386Z</dcterms:created>
  <dcterms:modified xsi:type="dcterms:W3CDTF">2026-02-18T13:15:46.386Z</dcterms:modified>
</cp:coreProperties>
</file>

<file path=docProps/custom.xml><?xml version="1.0" encoding="utf-8"?>
<Properties xmlns="http://schemas.openxmlformats.org/officeDocument/2006/custom-properties" xmlns:vt="http://schemas.openxmlformats.org/officeDocument/2006/docPropsVTypes"/>
</file>