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Dr. Vlad Coric, MD</w:t>
      </w:r>
    </w:p>
    <w:p>
      <w:pPr>
        <w:spacing w:after="400"/>
      </w:pPr>
      <w:r>
        <w:t xml:space="preserve">CEO &amp; Chairman, Biohaven Pharmaceuticals (Post-Pfizer)</w:t>
      </w:r>
    </w:p>
    <w:p>
      <w:pPr>
        <w:spacing w:after="200"/>
      </w:pPr>
      <w:r>
        <w:t xml:space="preserve">1. Role &amp; Scope</w:t>
      </w:r>
    </w:p>
    <w:p>
      <w:pPr>
        <w:spacing w:after="200"/>
      </w:pPr>
      <w:r>
        <w:t xml:space="preserve">Dr. Coric is the founder and CEO of a reimagined Biohaven, emerging from its acquisition by Pfizer and the subsequent spin-off or licensing restructuring that has created an independent biotech focused on precision neurodegeneration. As a physician-scientist-entrepreneur, he uniquely bridges clinical medicine, neuroscience research, and business strategy. He oversees all strategic, scientific, and commercial functions, reporting to the Board of Directors and engaging directly with investors, regulatory authorities, and pharma partners. His role encompasses portfolio prioritization, platform development, regulatory engagement, and the organizational transformation required to rebuild Biohaven as a standalone neurodegeneration-focused entity.</w:t>
      </w:r>
    </w:p>
    <w:p>
      <w:pPr>
        <w:spacing w:after="100"/>
      </w:pPr>
      <w:r>
        <w:t xml:space="preserve">Key Responsibilities:</w:t>
      </w:r>
    </w:p>
    <w:p>
      <w:pPr>
        <w:pStyle w:val="ListParagraph"/>
        <w:numPr>
          <w:ilvl w:val="0"/>
          <w:numId w:val="1"/>
        </w:numPr>
        <w:spacing w:after="80"/>
      </w:pPr>
      <w:r>
        <w:t xml:space="preserve">Strategic repositioning post-Pfizer acquisition and spin-off structuring</w:t>
      </w:r>
    </w:p>
    <w:p>
      <w:pPr>
        <w:pStyle w:val="ListParagraph"/>
        <w:numPr>
          <w:ilvl w:val="0"/>
          <w:numId w:val="1"/>
        </w:numPr>
        <w:spacing w:after="80"/>
      </w:pPr>
      <w:r>
        <w:t xml:space="preserve">Portfolio development across Kv7 (opakalin) and protein degradation platforms</w:t>
      </w:r>
    </w:p>
    <w:p>
      <w:pPr>
        <w:pStyle w:val="ListParagraph"/>
        <w:numPr>
          <w:ilvl w:val="0"/>
          <w:numId w:val="1"/>
        </w:numPr>
        <w:spacing w:after="80"/>
      </w:pPr>
      <w:r>
        <w:t xml:space="preserve">Regulatory engagement for VYGLXIA (troriluzole) SCA and ongoing Phase 3 programs</w:t>
      </w:r>
    </w:p>
    <w:p>
      <w:pPr>
        <w:pStyle w:val="ListParagraph"/>
        <w:numPr>
          <w:ilvl w:val="0"/>
          <w:numId w:val="1"/>
        </w:numPr>
        <w:spacing w:after="400"/>
      </w:pPr>
      <w:r>
        <w:t xml:space="preserve">Partnerships and licensing arrangements with Pfizer and other strategic collaborators</w:t>
      </w:r>
    </w:p>
    <w:p>
      <w:pPr>
        <w:spacing w:after="200"/>
      </w:pPr>
      <w:r>
        <w:t xml:space="preserve">2. Strategic Priorities</w:t>
      </w:r>
    </w:p>
    <w:p>
      <w:pPr>
        <w:spacing w:after="200"/>
      </w:pPr>
      <w:r>
        <w:t xml:space="preserve">Dr. Coric is intensely focused on executing Phase 3 trials for opakalin (BHV-7000) in focal epilepsy and advancing protein degradation programs for neurodegenerative indications. He views VYGLXIA as a near-term commercial asset, particularly in spinocerebellar ataxia where patient communities are tight-knit and outcomes measurable. The dual-platform strategy—leveraging both Kv7 ion channel biology and targeted protein degradation—reflects his belief in mechanistic precision. Post-Pfizer, he is prioritizing organizational independence, capital efficiency, and the narrative of a precision neuromodulation company rather than a traditional biotech. He is acutely aware of the need to differentiate from larger competitors and position Biohaven as a best-in-class team.</w:t>
      </w:r>
    </w:p>
    <w:p>
      <w:pPr>
        <w:spacing w:after="100"/>
      </w:pPr>
      <w:r>
        <w:t xml:space="preserve">Immediate Objectives:</w:t>
      </w:r>
    </w:p>
    <w:p>
      <w:pPr>
        <w:pStyle w:val="ListParagraph"/>
        <w:numPr>
          <w:ilvl w:val="0"/>
          <w:numId w:val="1"/>
        </w:numPr>
        <w:spacing w:after="80"/>
      </w:pPr>
      <w:r>
        <w:t xml:space="preserve">Complete Phase 3 enrollment for opakalin focal epilepsy program</w:t>
      </w:r>
    </w:p>
    <w:p>
      <w:pPr>
        <w:pStyle w:val="ListParagraph"/>
        <w:numPr>
          <w:ilvl w:val="0"/>
          <w:numId w:val="1"/>
        </w:numPr>
        <w:spacing w:after="80"/>
      </w:pPr>
      <w:r>
        <w:t xml:space="preserve">Advance VYGLXIA launch preparation and SCA patient access programs</w:t>
      </w:r>
    </w:p>
    <w:p>
      <w:pPr>
        <w:pStyle w:val="ListParagraph"/>
        <w:numPr>
          <w:ilvl w:val="0"/>
          <w:numId w:val="1"/>
        </w:numPr>
        <w:spacing w:after="80"/>
      </w:pPr>
      <w:r>
        <w:t xml:space="preserve">Secure protein degradation partnership or advance lead candidate to IND</w:t>
      </w:r>
    </w:p>
    <w:p>
      <w:pPr>
        <w:pStyle w:val="ListParagraph"/>
        <w:numPr>
          <w:ilvl w:val="0"/>
          <w:numId w:val="1"/>
        </w:numPr>
        <w:spacing w:after="400"/>
      </w:pPr>
      <w:r>
        <w:t xml:space="preserve">Establish Biohaven as independent entity post-Pfizer with clear strategic identity</w:t>
      </w:r>
    </w:p>
    <w:p>
      <w:pPr>
        <w:spacing w:after="200"/>
      </w:pPr>
      <w:r>
        <w:t xml:space="preserve">3. Scientific Expertise &amp; Background</w:t>
      </w:r>
    </w:p>
    <w:p>
      <w:pPr>
        <w:spacing w:after="200"/>
      </w:pPr>
      <w:r>
        <w:t xml:space="preserve">Dr. Coric earned his MD from Yale School of Medicine and completed residency and fellowship training in psychiatry with a strong neuroscience foundation. He has dual expertise: clinical psychiatry and neuropsychopharmacology on one hand, and deep knowledge of neurodegeneration mechanisms on the other. He co-founded Biohaven with the explicit mission to develop precision treatments for psychiatric and neurological disorders. His background includes leadership at major academic centers and earlier-stage biotech roles. He has published on treatment-resistant depression, OCD, and emerging neurobiological mechanisms. His entrepreneurial mindset, combined with scientific credibility, has attracted top talent and investor confidence. He has benefited from mentorship by leaders like Nick Kozauer (ex-FDA CMO), who provides strategic guidance.</w:t>
      </w:r>
    </w:p>
    <w:p>
      <w:pPr>
        <w:spacing w:after="100"/>
      </w:pPr>
      <w:r>
        <w:t xml:space="preserve">Core Competencies:</w:t>
      </w:r>
    </w:p>
    <w:p>
      <w:pPr>
        <w:pStyle w:val="ListParagraph"/>
        <w:numPr>
          <w:ilvl w:val="0"/>
          <w:numId w:val="1"/>
        </w:numPr>
        <w:spacing w:after="80"/>
      </w:pPr>
      <w:r>
        <w:t xml:space="preserve">Clinical psychiatry and neuropsychopharmacology expertise</w:t>
      </w:r>
    </w:p>
    <w:p>
      <w:pPr>
        <w:pStyle w:val="ListParagraph"/>
        <w:numPr>
          <w:ilvl w:val="0"/>
          <w:numId w:val="1"/>
        </w:numPr>
        <w:spacing w:after="80"/>
      </w:pPr>
      <w:r>
        <w:t xml:space="preserve">Neurodegeneration biology and mechanistic precision targeting</w:t>
      </w:r>
    </w:p>
    <w:p>
      <w:pPr>
        <w:pStyle w:val="ListParagraph"/>
        <w:numPr>
          <w:ilvl w:val="0"/>
          <w:numId w:val="1"/>
        </w:numPr>
        <w:spacing w:after="80"/>
      </w:pPr>
      <w:r>
        <w:t xml:space="preserve">Biotech entrepreneurship and company building from founding through scale</w:t>
      </w:r>
    </w:p>
    <w:p>
      <w:pPr>
        <w:pStyle w:val="ListParagraph"/>
        <w:numPr>
          <w:ilvl w:val="0"/>
          <w:numId w:val="1"/>
        </w:numPr>
        <w:spacing w:after="400"/>
      </w:pPr>
      <w:r>
        <w:t xml:space="preserve">Regulatory pathways in CNS and rare neurological disease</w:t>
      </w:r>
    </w:p>
    <w:p>
      <w:pPr>
        <w:spacing w:after="200"/>
      </w:pPr>
      <w:r>
        <w:t xml:space="preserve">4. Key Challenges &amp; Pain Points</w:t>
      </w:r>
    </w:p>
    <w:p>
      <w:pPr>
        <w:spacing w:after="200"/>
      </w:pPr>
      <w:r>
        <w:t xml:space="preserve">The post-Pfizer landscape presents both opportunities and profound challenges. Biohaven must now establish independence, including securing capital, building infrastructure, and asserting a unique identity in a crowded neurodegeneration space. Competition from established companies (Roche, Eli Lilly, Biogen) with massive R&amp;D budgets is formidable, particularly in protein degradation where multiple players are active. Opakalin faces the same patient recruitment headwinds as other epilepsy programs, plus the challenge of differentiation from Xenon's azetukalner and other Kv7 entrants. VYGLXIA, while an approved commercial asset, operates in small patient populations (SCA) with limited market size. Investor sentiment toward standalone biotech is cautious; proving capital efficiency and demonstrating scientific differentiators is critical.</w:t>
      </w:r>
    </w:p>
    <w:p>
      <w:pPr>
        <w:spacing w:after="100"/>
      </w:pPr>
      <w:r>
        <w:t xml:space="preserve">Critical Pressure Points:</w:t>
      </w:r>
    </w:p>
    <w:p>
      <w:pPr>
        <w:pStyle w:val="ListParagraph"/>
        <w:numPr>
          <w:ilvl w:val="0"/>
          <w:numId w:val="1"/>
        </w:numPr>
        <w:spacing w:after="80"/>
      </w:pPr>
      <w:r>
        <w:t xml:space="preserve">Establishing organizational independence and capital structure post-Pfizer</w:t>
      </w:r>
    </w:p>
    <w:p>
      <w:pPr>
        <w:pStyle w:val="ListParagraph"/>
        <w:numPr>
          <w:ilvl w:val="0"/>
          <w:numId w:val="1"/>
        </w:numPr>
        <w:spacing w:after="80"/>
      </w:pPr>
      <w:r>
        <w:t xml:space="preserve">Opakalin differentiation in competitive Kv7/epilepsy landscape</w:t>
      </w:r>
    </w:p>
    <w:p>
      <w:pPr>
        <w:pStyle w:val="ListParagraph"/>
        <w:numPr>
          <w:ilvl w:val="0"/>
          <w:numId w:val="1"/>
        </w:numPr>
        <w:spacing w:after="80"/>
      </w:pPr>
      <w:r>
        <w:t xml:space="preserve">Protein degradation program advancement without pharma-scale resources</w:t>
      </w:r>
    </w:p>
    <w:p>
      <w:pPr>
        <w:pStyle w:val="ListParagraph"/>
        <w:numPr>
          <w:ilvl w:val="0"/>
          <w:numId w:val="1"/>
        </w:numPr>
        <w:spacing w:after="400"/>
      </w:pPr>
      <w:r>
        <w:t xml:space="preserve">VYGLXIA commercialization in small, specialized patient populations</w:t>
      </w:r>
    </w:p>
    <w:p>
      <w:pPr>
        <w:spacing w:after="200"/>
      </w:pPr>
      <w:r>
        <w:t xml:space="preserve">5. Information Needs &amp; Data Preferences</w:t>
      </w:r>
    </w:p>
    <w:p>
      <w:pPr>
        <w:spacing w:after="200"/>
      </w:pPr>
      <w:r>
        <w:t xml:space="preserve">As a founder-CEO with deep scientific roots, Dr. Coric values mechanistic understanding and clinical translation rigor. He demands real-world evidence, patient outcome metrics, and regulatory pathway clarity. He prioritizes competitive intelligence, particularly on other Kv7 programs and broader neurodegeneration strategies. He seeks biomarker and precision medicine insights that enable patient stratification. Capital efficiency data, benchmarking against peer biotech, and investor sentiment analysis inform strategic resource allocation. He values advisory board input from leading neurodegenerative disease experts and patient advocacy voices. Pfizer partnership terms and regulatory feedback from FDA/EMA are strategically critical for platform validation.</w:t>
      </w:r>
    </w:p>
    <w:p>
      <w:pPr>
        <w:spacing w:after="100"/>
      </w:pPr>
      <w:r>
        <w:t xml:space="preserve">Priority Information Sources:</w:t>
      </w:r>
    </w:p>
    <w:p>
      <w:pPr>
        <w:pStyle w:val="ListParagraph"/>
        <w:numPr>
          <w:ilvl w:val="0"/>
          <w:numId w:val="1"/>
        </w:numPr>
        <w:spacing w:after="80"/>
      </w:pPr>
      <w:r>
        <w:t xml:space="preserve">Mechanistic and biomarker data supporting opakalin and protein degradation programs</w:t>
      </w:r>
    </w:p>
    <w:p>
      <w:pPr>
        <w:pStyle w:val="ListParagraph"/>
        <w:numPr>
          <w:ilvl w:val="0"/>
          <w:numId w:val="1"/>
        </w:numPr>
        <w:spacing w:after="80"/>
      </w:pPr>
      <w:r>
        <w:t xml:space="preserve">Real-world evidence on SCA patient outcomes and VYGLXIA utilization patterns</w:t>
      </w:r>
    </w:p>
    <w:p>
      <w:pPr>
        <w:pStyle w:val="ListParagraph"/>
        <w:numPr>
          <w:ilvl w:val="0"/>
          <w:numId w:val="1"/>
        </w:numPr>
        <w:spacing w:after="80"/>
      </w:pPr>
      <w:r>
        <w:t xml:space="preserve">Competitive intelligence on Kv7 and protein degradation programs</w:t>
      </w:r>
    </w:p>
    <w:p>
      <w:pPr>
        <w:pStyle w:val="ListParagraph"/>
        <w:numPr>
          <w:ilvl w:val="0"/>
          <w:numId w:val="1"/>
        </w:numPr>
        <w:spacing w:after="400"/>
      </w:pPr>
      <w:r>
        <w:t xml:space="preserve">Capital efficiency benchmarks and biotech investor sentiment trends</w:t>
      </w:r>
    </w:p>
    <w:p>
      <w:pPr>
        <w:spacing w:after="200"/>
      </w:pPr>
      <w:r>
        <w:t xml:space="preserve">6. Market Understanding &amp; Industry Perspective</w:t>
      </w:r>
    </w:p>
    <w:p>
      <w:pPr>
        <w:spacing w:after="200"/>
      </w:pPr>
      <w:r>
        <w:t xml:space="preserve">Dr. Coric views the neurodegeneration space as bifurcated: major pharma chasing multibillion-dollar Alzheimer's and Parkinson's programs, while orphan neurodegenerative diseases remain underserved. He sees Biohaven's opportunity in precision targeting—both through opakalin's Kv7 mechanism and protein degradation—as differentiating from one-size-fits-all approaches. He recognizes that post-Pfizer, standalone biotech must demonstrate agility, capital efficiency, and cutting-edge science to compete. He anticipates further consolidation in neurodegeneration biotech, but believes differentiated mechanisms and strong team will attract partnership or acquisition premium. The market is increasingly receptive to biomarker-driven development and rare disease expertise.</w:t>
      </w:r>
    </w:p>
    <w:p>
      <w:pPr>
        <w:spacing w:after="100"/>
      </w:pPr>
      <w:r>
        <w:t xml:space="preserve">Market Observations:</w:t>
      </w:r>
    </w:p>
    <w:p>
      <w:pPr>
        <w:pStyle w:val="ListParagraph"/>
        <w:numPr>
          <w:ilvl w:val="0"/>
          <w:numId w:val="1"/>
        </w:numPr>
        <w:spacing w:after="80"/>
      </w:pPr>
      <w:r>
        <w:t xml:space="preserve">Orphan neurodegeneration diseases are underfunded relative to major neurodegenerative pathways</w:t>
      </w:r>
    </w:p>
    <w:p>
      <w:pPr>
        <w:pStyle w:val="ListParagraph"/>
        <w:numPr>
          <w:ilvl w:val="0"/>
          <w:numId w:val="1"/>
        </w:numPr>
        <w:spacing w:after="80"/>
      </w:pPr>
      <w:r>
        <w:t xml:space="preserve">Precision medicine and biomarker strategies are increasingly valued by regulators and payers</w:t>
      </w:r>
    </w:p>
    <w:p>
      <w:pPr>
        <w:pStyle w:val="ListParagraph"/>
        <w:numPr>
          <w:ilvl w:val="0"/>
          <w:numId w:val="1"/>
        </w:numPr>
        <w:spacing w:after="80"/>
      </w:pPr>
      <w:r>
        <w:t xml:space="preserve">Standalone biotech with differentiated mechanisms command premium valuations</w:t>
      </w:r>
    </w:p>
    <w:p>
      <w:pPr>
        <w:pStyle w:val="ListParagraph"/>
        <w:numPr>
          <w:ilvl w:val="0"/>
          <w:numId w:val="1"/>
        </w:numPr>
        <w:spacing w:after="400"/>
      </w:pPr>
      <w:r>
        <w:t xml:space="preserve">Pfizer spin-off structure creates unique positioning for partnerships and M&amp;A</w:t>
      </w:r>
    </w:p>
    <w:p>
      <w:pPr>
        <w:spacing w:after="200"/>
      </w:pPr>
      <w:r>
        <w:t xml:space="preserve">7. Decision-Making Style &amp; Preferred Communication</w:t>
      </w:r>
    </w:p>
    <w:p>
      <w:pPr>
        <w:spacing w:after="200"/>
      </w:pPr>
      <w:r>
        <w:t xml:space="preserve">As a founder-CEO, Dr. Coric is decisive yet collaborative. He values scientific rigor but is pragmatic about timelines and capital constraints. He prefers direct communication, executive-level summaries, and mechanism-focused discussions over marketing narratives. He challenges assumptions vigorously and respects experts who can defend their positions with evidence. He is approachable and accessible, often engaging directly with scientists, clinicians, and partners. He dislikes consensus-seeking at the expense of action; he will make bold calls when data supports them. Communication should be precise, jargon-appropriate, and solutions-oriented. He responds well to entrepreneurial thinking and creative problem-solving.</w:t>
      </w:r>
    </w:p>
    <w:p>
      <w:pPr>
        <w:spacing w:after="100"/>
      </w:pPr>
      <w:r>
        <w:t xml:space="preserve">Communication Preferences:</w:t>
      </w:r>
    </w:p>
    <w:p>
      <w:pPr>
        <w:pStyle w:val="ListParagraph"/>
        <w:numPr>
          <w:ilvl w:val="0"/>
          <w:numId w:val="1"/>
        </w:numPr>
        <w:spacing w:after="80"/>
      </w:pPr>
      <w:r>
        <w:t xml:space="preserve">Mechanism-focused scientific discussions over marketing narratives</w:t>
      </w:r>
    </w:p>
    <w:p>
      <w:pPr>
        <w:pStyle w:val="ListParagraph"/>
        <w:numPr>
          <w:ilvl w:val="0"/>
          <w:numId w:val="1"/>
        </w:numPr>
        <w:spacing w:after="80"/>
      </w:pPr>
      <w:r>
        <w:t xml:space="preserve">Executive summaries with detailed mechanism and regulatory appendices</w:t>
      </w:r>
    </w:p>
    <w:p>
      <w:pPr>
        <w:pStyle w:val="ListParagraph"/>
        <w:numPr>
          <w:ilvl w:val="0"/>
          <w:numId w:val="1"/>
        </w:numPr>
        <w:spacing w:after="80"/>
      </w:pPr>
      <w:r>
        <w:t xml:space="preserve">Entrepreneurial problem-solving and creative strategic options</w:t>
      </w:r>
    </w:p>
    <w:p>
      <w:pPr>
        <w:pStyle w:val="ListParagraph"/>
        <w:numPr>
          <w:ilvl w:val="0"/>
          <w:numId w:val="1"/>
        </w:numPr>
        <w:spacing w:after="400"/>
      </w:pPr>
      <w:r>
        <w:t xml:space="preserve">Collaborative but decisive decision-making with clear action items</w:t>
      </w:r>
    </w:p>
    <w:p>
      <w:pPr>
        <w:spacing w:after="200"/>
      </w:pPr>
      <w:r>
        <w:t xml:space="preserve">8. Success Metrics &amp; KPIs</w:t>
      </w:r>
    </w:p>
    <w:p>
      <w:pPr>
        <w:spacing w:after="200"/>
      </w:pPr>
      <w:r>
        <w:t xml:space="preserve">Dr. Coric tracks opakalin Phase 3 enrollment velocity, regulatory feedback incorporation, and competitive positioning against other Kv7 programs. VYGLXIA commercialization metrics include patient access, payer coverage, and real-world efficacy data. Broader KPIs include capital efficiency (burn rate, runway), team recruitment and retention, and investor confidence (stock price, funding rounds). Protein degradation program advancement is measured by IND filings, partnership terms, and mechanistic validation. Post-Pfizer organizational metrics include independence achievement, operational efficiency, and differentiation narrative clarity. Ultimately, success is measured by Phase 3 readouts, regulatory approvals, commercial traction, and Biohaven's positioning as a leading precision neurodegeneration company.</w:t>
      </w:r>
    </w:p>
    <w:p>
      <w:pPr>
        <w:spacing w:after="100"/>
      </w:pPr>
      <w:r>
        <w:t xml:space="preserve">Key Performance Indicators:</w:t>
      </w:r>
    </w:p>
    <w:p>
      <w:pPr>
        <w:pStyle w:val="ListParagraph"/>
        <w:numPr>
          <w:ilvl w:val="0"/>
          <w:numId w:val="1"/>
        </w:numPr>
        <w:spacing w:after="80"/>
      </w:pPr>
      <w:r>
        <w:t xml:space="preserve">Opakalin Phase 3 enrollment rates and trial progress</w:t>
      </w:r>
    </w:p>
    <w:p>
      <w:pPr>
        <w:pStyle w:val="ListParagraph"/>
        <w:numPr>
          <w:ilvl w:val="0"/>
          <w:numId w:val="1"/>
        </w:numPr>
        <w:spacing w:after="80"/>
      </w:pPr>
      <w:r>
        <w:t xml:space="preserve">VYGLXIA patient access and payer coverage breadth</w:t>
      </w:r>
    </w:p>
    <w:p>
      <w:pPr>
        <w:pStyle w:val="ListParagraph"/>
        <w:numPr>
          <w:ilvl w:val="0"/>
          <w:numId w:val="1"/>
        </w:numPr>
        <w:spacing w:after="80"/>
      </w:pPr>
      <w:r>
        <w:t xml:space="preserve">Capital efficiency and burn rate relative to competitors</w:t>
      </w:r>
    </w:p>
    <w:p>
      <w:pPr>
        <w:pStyle w:val="ListParagraph"/>
        <w:numPr>
          <w:ilvl w:val="0"/>
          <w:numId w:val="1"/>
        </w:numPr>
        <w:spacing w:after="400"/>
      </w:pPr>
      <w:r>
        <w:t xml:space="preserve">Protein degradation program advancement and partnership milestones</w:t>
      </w:r>
    </w:p>
    <w:p>
      <w:pPr>
        <w:spacing w:after="200"/>
      </w:pPr>
      <w:r>
        <w:t xml:space="preserve">9. Organizational Relationships &amp; Ecosystem</w:t>
      </w:r>
    </w:p>
    <w:p>
      <w:pPr>
        <w:spacing w:after="200"/>
      </w:pPr>
      <w:r>
        <w:t xml:space="preserve">As founder-CEO, Dr. Coric has deep relationships with the Biohaven leadership team, Board of Directors, and major investors. He maintains strategic relationships with Pfizer (post-acquisition), including partnership governance and licensing oversight. He engages regularly with academic collaborators, KOLs in neurodegeneration and epilepsy, and patient advocacy organizations. Nick Kozauer (ex-FDA CMO) serves as strategic advisor and regulatory partner. He networks extensively within the biotech investor community, venture capital, and institutional investors. He cultivates relationships with CRO leadership, site networks, and biomarker service providers. His network also includes potential acquisition partners and pharma collaborators for the protein degradation platform.</w:t>
      </w:r>
    </w:p>
    <w:p>
      <w:pPr>
        <w:spacing w:after="100"/>
      </w:pPr>
      <w:r>
        <w:t xml:space="preserve">Key Stakeholder Groups:</w:t>
      </w:r>
    </w:p>
    <w:p>
      <w:pPr>
        <w:pStyle w:val="ListParagraph"/>
        <w:numPr>
          <w:ilvl w:val="0"/>
          <w:numId w:val="1"/>
        </w:numPr>
        <w:spacing w:after="80"/>
      </w:pPr>
      <w:r>
        <w:t xml:space="preserve">Internal: Board, Executive Team, R&amp;D, Clinical, Regulatory, Commercial functions</w:t>
      </w:r>
    </w:p>
    <w:p>
      <w:pPr>
        <w:pStyle w:val="ListParagraph"/>
        <w:numPr>
          <w:ilvl w:val="0"/>
          <w:numId w:val="1"/>
        </w:numPr>
        <w:spacing w:after="80"/>
      </w:pPr>
      <w:r>
        <w:t xml:space="preserve">External: KOLs, patient advocacy, academic partners, FDA/EMA regulators</w:t>
      </w:r>
    </w:p>
    <w:p>
      <w:pPr>
        <w:pStyle w:val="ListParagraph"/>
        <w:numPr>
          <w:ilvl w:val="0"/>
          <w:numId w:val="1"/>
        </w:numPr>
        <w:spacing w:after="80"/>
      </w:pPr>
      <w:r>
        <w:t xml:space="preserve">Strategic: Pfizer partnership team, pharma licensees, acquisition targets</w:t>
      </w:r>
    </w:p>
    <w:p>
      <w:pPr>
        <w:pStyle w:val="ListParagraph"/>
        <w:numPr>
          <w:ilvl w:val="0"/>
          <w:numId w:val="1"/>
        </w:numPr>
        <w:spacing w:after="400"/>
      </w:pPr>
      <w:r>
        <w:t xml:space="preserve">Investor: VC, institutional investors, biotech bankers, equity analysts</w:t>
      </w:r>
    </w:p>
    <w:p>
      <w:pPr>
        <w:spacing w:after="200"/>
      </w:pPr>
      <w:r>
        <w:t xml:space="preserve">10. Competitive Intelligence &amp; Awareness</w:t>
      </w:r>
    </w:p>
    <w:p>
      <w:pPr>
        <w:spacing w:after="200"/>
      </w:pPr>
      <w:r>
        <w:t xml:space="preserve">Dr. Coric is intensely aware of the competitive Kv7 landscape, particularly Xenon's azetukalner program and other emerging epilepsy candidates. He tracks protein degradation competitors (Kymera, Nimbus, Prelude, others), understanding their mechanisms, clinical progress, and partnership strategies. He monitors broader neurodegeneration program developments from major pharma (Roche, Eli Lilly, Biogen, Sesen Bio). He is sensitive to regulatory feedback trends affecting CNS and rare disease programs. He understands patent landscapes and freedom-to-operate issues for opakalin and protein degradation programs. Competitive threats inform portfolio prioritization, partnership decisions, and go-to-market strategy. Monthly competitive analyses are conducted and presented to the Board.</w:t>
      </w:r>
    </w:p>
    <w:p>
      <w:pPr>
        <w:spacing w:after="100"/>
      </w:pPr>
      <w:r>
        <w:t xml:space="preserve">Competitive Monitoring Focus:</w:t>
      </w:r>
    </w:p>
    <w:p>
      <w:pPr>
        <w:pStyle w:val="ListParagraph"/>
        <w:numPr>
          <w:ilvl w:val="0"/>
          <w:numId w:val="1"/>
        </w:numPr>
        <w:spacing w:after="80"/>
      </w:pPr>
      <w:r>
        <w:t xml:space="preserve">Kv7 program landscape (Xenon, others) and differentiation opportunities</w:t>
      </w:r>
    </w:p>
    <w:p>
      <w:pPr>
        <w:pStyle w:val="ListParagraph"/>
        <w:numPr>
          <w:ilvl w:val="0"/>
          <w:numId w:val="1"/>
        </w:numPr>
        <w:spacing w:after="80"/>
      </w:pPr>
      <w:r>
        <w:t xml:space="preserve">Protein degradation program development and partnership announcements</w:t>
      </w:r>
    </w:p>
    <w:p>
      <w:pPr>
        <w:pStyle w:val="ListParagraph"/>
        <w:numPr>
          <w:ilvl w:val="0"/>
          <w:numId w:val="1"/>
        </w:numPr>
        <w:spacing w:after="80"/>
      </w:pPr>
      <w:r>
        <w:t xml:space="preserve">Broader neurodegeneration and rare disease program landscapes</w:t>
      </w:r>
    </w:p>
    <w:p>
      <w:pPr>
        <w:pStyle w:val="ListParagraph"/>
        <w:numPr>
          <w:ilvl w:val="0"/>
          <w:numId w:val="1"/>
        </w:numPr>
        <w:spacing w:after="400"/>
      </w:pPr>
      <w:r>
        <w:t xml:space="preserve">Regulatory feedback and precedent for dual-indication and rare disease strategies</w:t>
      </w:r>
    </w:p>
    <w:p>
      <w:pPr>
        <w:spacing w:after="200"/>
      </w:pPr>
      <w:r>
        <w:t xml:space="preserve">11. Long-Term Vision &amp; Legacy</w:t>
      </w:r>
    </w:p>
    <w:p>
      <w:pPr>
        <w:spacing w:after="200"/>
      </w:pPr>
      <w:r>
        <w:t xml:space="preserve">Dr. Coric envisions Biohaven as a leading precision neurodegeneration and neuromodulation company, with opakalin and protein degradation programs anchoring a differentiated pipeline. He aspires for Biohaven to demonstrate that standalone biotech can compete and thrive post-Pfizer, through agility, scientific excellence, and disciplined capital allocation. He sees a future where VYGLXIA becomes a cornerstone therapy in SCA care and opakalin reshapes the epilepsy treatment paradigm. Longer-term, he hopes the protein degradation platform yields multiple product candidates, potentially in Parkinson's, ALS, or other neurodegenerative indications. Personally, he seeks to build a world-class team, mentor emerging scientific leaders, and leave a legacy of bringing precision mechanistic therapies to patients with serious neurological diseases.</w:t>
      </w:r>
    </w:p>
    <w:p>
      <w:pPr>
        <w:spacing w:after="100"/>
      </w:pPr>
      <w:r>
        <w:t xml:space="preserve">Aspirational Goals:</w:t>
      </w:r>
    </w:p>
    <w:p>
      <w:pPr>
        <w:pStyle w:val="ListParagraph"/>
        <w:numPr>
          <w:ilvl w:val="0"/>
          <w:numId w:val="1"/>
        </w:numPr>
        <w:spacing w:after="80"/>
      </w:pPr>
      <w:r>
        <w:t xml:space="preserve">Establish Biohaven as a leading independent precision neurodegeneration company</w:t>
      </w:r>
    </w:p>
    <w:p>
      <w:pPr>
        <w:pStyle w:val="ListParagraph"/>
        <w:numPr>
          <w:ilvl w:val="0"/>
          <w:numId w:val="1"/>
        </w:numPr>
        <w:spacing w:after="80"/>
      </w:pPr>
      <w:r>
        <w:t xml:space="preserve">Achieve Phase 3 success with opakalin and reshape epilepsy treatment</w:t>
      </w:r>
    </w:p>
    <w:p>
      <w:pPr>
        <w:pStyle w:val="ListParagraph"/>
        <w:numPr>
          <w:ilvl w:val="0"/>
          <w:numId w:val="1"/>
        </w:numPr>
        <w:spacing w:after="80"/>
      </w:pPr>
      <w:r>
        <w:t xml:space="preserve">Advance protein degradation platform to multiple clinical candidates</w:t>
      </w:r>
    </w:p>
    <w:p>
      <w:pPr>
        <w:pStyle w:val="ListParagraph"/>
        <w:numPr>
          <w:ilvl w:val="0"/>
          <w:numId w:val="1"/>
        </w:numPr>
        <w:spacing w:after="400"/>
      </w:pPr>
      <w:r>
        <w:t xml:space="preserve">Build a world-class team and culture of scientific excellence and entrepreneurship</w:t>
      </w:r>
    </w:p>
    <w:p>
      <w:pPr>
        <w:spacing w:after="200"/>
      </w:pPr>
      <w:r>
        <w:t xml:space="preserve">12. Relevant Quotes &amp; Perspectives</w:t>
      </w:r>
    </w:p>
    <w:p>
      <w:pPr>
        <w:spacing w:after="200"/>
      </w:pPr>
      <w:r>
        <w:t xml:space="preserve">"Post-Pfizer, we have the opportunity to prove that standalone biotech with differentiated mechanisms, world-class team, and disciplined execution can create value. We are not trying to compete on scale; we are competing on science and agility."</w:t>
      </w:r>
    </w:p>
    <w:p>
      <w:pPr>
        <w:spacing w:after="200"/>
      </w:pPr>
      <w:r>
        <w:t xml:space="preserve">"Opakalin is not just another Kv7 program. Our approach is grounded in precision targeting, biomarker integration, and patient-centered trial design. We are advancing the field, not chasing copycat indications."</w:t>
      </w:r>
    </w:p>
    <w:p>
      <w:pPr>
        <w:spacing w:after="200"/>
      </w:pPr>
      <w:r>
        <w:t xml:space="preserve">"Protein degradation represents a new paradigm for neurodegeneration. We are not just treating symptoms; we are targeting the root causes of neuronal loss. This is where the future of the field lies."</w:t>
      </w:r>
    </w:p>
    <w:p>
      <w:pPr>
        <w:spacing w:after="200"/>
      </w:pPr>
      <w:r>
        <w:t xml:space="preserve">"VYGLXIA is our anchor. It is an approved, differentiated therapy in a patient population with profound unmet need. We are building a commercial engine around this asset while advancing our pipeline. Both are critical."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2026-02-18T13:15:10.841Z</dcterms:created>
  <dcterms:modified xsi:type="dcterms:W3CDTF">2026-02-18T13:15:10.842Z</dcterms:modified>
</cp:coreProperties>
</file>

<file path=docProps/custom.xml><?xml version="1.0" encoding="utf-8"?>
<Properties xmlns="http://schemas.openxmlformats.org/officeDocument/2006/custom-properties" xmlns:vt="http://schemas.openxmlformats.org/officeDocument/2006/docPropsVTypes"/>
</file>