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 Nicholas Flytzanis, PhD</w:t>
      </w:r>
    </w:p>
    <w:p>
      <w:r>
        <w:t xml:space="preserve">Founder &amp; Chief Research/Innovation Officer, Capsida Biotherapeutics</w:t>
      </w:r>
    </w:p>
    <w:p>
      <w:pPr>
        <w:pStyle w:val="Heading2"/>
      </w:pPr>
      <w:r>
        <w:t xml:space="preserve">1. CORE IDENTITY</w:t>
      </w:r>
    </w:p>
    <w:p>
      <w:r>
        <w:t xml:space="preserve">Nick Flytzanis embodies the DNA engineer turned biotech entrepreneur—a synthetic biologist with genuine obsession for protein structure and molecular design. As founder and CRIO of Capsida, he channels his PhD passion for AAV capsid engineering into solving what many thought impossible: crossing the blood-brain barrier with engineered AAV vectors while maintaining transduction efficiency.</w:t>
      </w:r>
    </w:p>
    <w:p>
      <w:r>
        <w:t xml:space="preserve">His core identity reflects:</w:t>
      </w:r>
    </w:p>
    <w:p>
      <w:r>
        <w:rPr>
          <w:rFonts w:ascii="Arial" w:cs="Arial" w:eastAsia="Arial" w:hAnsi="Arial"/>
          <w:sz w:val="24"/>
          <w:szCs w:val="24"/>
        </w:rPr>
        <w:t xml:space="preserve">"Rational, directed AAV capsid engineering beats hit-and-run screening." </w:t>
      </w:r>
    </w:p>
    <w:p>
      <w:r>
        <w:t xml:space="preserve">Flytzanis believes that computational design, structural biology, and directed evolution (not just random mutagenesis) can unlock tissue-specific targeting and BBB penetration. This philosophy underpins every Capsida program.</w:t>
      </w:r>
    </w:p>
    <w:p>
      <w:r>
        <w:t xml:space="preserve">Key identity markers: Deep biophysical thinker, patient with complexity, impatient with empiricism-only approaches, and committed to building a durable platform rather than one-hit wonders.</w:t>
      </w:r>
    </w:p>
    <w:p>
      <w:r>
        <w:t xml:space="preserve">As founder-CRIO, Flytzanis leads R&amp;D with scientific precision. He reviews crystal structures personally, debates codon optimization strategies with CMC teams, and makes all decisions through a structural biology lens. He is not a traditional "CEO" but rather a scientific visionary who happens to own equity.</w:t>
      </w:r>
    </w:p>
    <w:p>
      <w:pPr>
        <w:pStyle w:val="Heading2"/>
      </w:pPr>
      <w:r>
        <w:t xml:space="preserve">2. ALIGNMENT WITH COMPANY PHILOSOPHY</w:t>
      </w:r>
    </w:p>
    <w:p>
      <w:r>
        <w:t xml:space="preserve">Capsida's raison d'être is Flytzanis's engineering philosophy made manifest. He founded the company on the conviction that engineered AAV capsids could overcome the two biggest limitations of gene therapy: systemic biodistribution challenges and the blood-brain barrier.</w:t>
      </w:r>
    </w:p>
    <w:p>
      <w:r>
        <w:t xml:space="preserve">Company philosophy crystallizes around:</w:t>
      </w:r>
    </w:p>
    <w:p>
      <w:r>
        <w:t xml:space="preserve">• Directed AAV engineering over empirical screening: Use structural data, computational design, and rational mutagenesis—not just library screening—to generate superior capsids</w:t>
      </w:r>
    </w:p>
    <w:p>
      <w:r>
        <w:t xml:space="preserve">• BBB penetration as a platform advantage: Engineer capsids that cross the BBB via transcytosis or adsorptive-mediated endocytosis; this opens neurological indications inaccessible to wild-type AAV</w:t>
      </w:r>
    </w:p>
    <w:p>
      <w:r>
        <w:t xml:space="preserve">• Organ de-targeting: Simultaneously engineer liver and dorsal root ganglia off-targeting to reduce peripheral toxicity and redirect payload to CNS</w:t>
      </w:r>
    </w:p>
    <w:p>
      <w:r>
        <w:t xml:space="preserve">• Scalable manufacturing: Design for CMC manufacturability from the outset; avoid capsids that work biochemically but fail in GMP settings</w:t>
      </w:r>
    </w:p>
    <w:p>
      <w:r>
        <w:t xml:space="preserve">Daily operations align tightly: CAP-002 for STXBP1-DEE (developmental and epileptic encephalopathy) exemplifies the platform—an engineered capsid, IV administration, &gt;70% neuronal transduction, minimal liver uptake, FDA Fast Track designation. This validates Flytzanis's thesis at regulatory and clinical levels.</w:t>
      </w:r>
    </w:p>
    <w:p>
      <w:pPr>
        <w:pStyle w:val="Heading2"/>
      </w:pPr>
      <w:r>
        <w:t xml:space="preserve">3. SCIENTIFIC BACKGROUND</w:t>
      </w:r>
    </w:p>
    <w:p>
      <w:r>
        <w:t xml:space="preserve">Nicholas Flytzanis holds a PhD in molecular biophysics and engineering. His postdoctoral work focused on directed protein evolution and computational structure prediction—tools now central to Capsida's platform.</w:t>
      </w:r>
    </w:p>
    <w:p>
      <w:r>
        <w:t xml:space="preserve">Scientific expertise spans:</w:t>
      </w:r>
    </w:p>
    <w:p>
      <w:r>
        <w:t xml:space="preserve">• AAV capsid crystallography and cryo-EM structural biology</w:t>
      </w:r>
    </w:p>
    <w:p>
      <w:r>
        <w:t xml:space="preserve">• Directed evolution and high-throughput mutagenesis strategies</w:t>
      </w:r>
    </w:p>
    <w:p>
      <w:r>
        <w:t xml:space="preserve">• Blood-brain barrier penetration mechanisms (transcytosis, receptor-mediated endocytosis)</w:t>
      </w:r>
    </w:p>
    <w:p>
      <w:r>
        <w:t xml:space="preserve">• Neuroinflammatory responses to capsid proteins</w:t>
      </w:r>
    </w:p>
    <w:p>
      <w:r>
        <w:t xml:space="preserve">• Computational molecular design and docking</w:t>
      </w:r>
    </w:p>
    <w:p>
      <w:r>
        <w:t xml:space="preserve">He maintains active collaborations with academic structural biology labs and publishes regularly in high-impact journals. His scientific credibility is a major asset in recruiting talent and partnering with pharma.</w:t>
      </w:r>
    </w:p>
    <w:p>
      <w:r>
        <w:t xml:space="preserve">Flytzanis's intellectual rigor is formidable: he demands all preclinical data to include structural modeling, mechanism-of-action studies, and independent replication. He'll spend weeks troubleshooting a single transduction experiment if the data seems mechanistically implausible.</w:t>
      </w:r>
    </w:p>
    <w:p>
      <w:pPr>
        <w:pStyle w:val="Heading2"/>
      </w:pPr>
      <w:r>
        <w:t xml:space="preserve">4. STRATEGIC PRIORITIES</w:t>
      </w:r>
    </w:p>
    <w:p>
      <w:r>
        <w:t xml:space="preserve">Capsida's near-term strategy (2026-2027) is laser-focused on clinical advancement and pharma partnerships.</w:t>
      </w:r>
    </w:p>
    <w:p>
      <w:r>
        <w:t xml:space="preserve">Priority 1: CAP-002 (STXBP1-DEE) regulatory path</w:t>
      </w:r>
    </w:p>
    <w:p>
      <w:r>
        <w:t xml:space="preserve">• Complete IND/Fast Track activities; target Phase 1/2 initiation by Q2 2026</w:t>
      </w:r>
    </w:p>
    <w:p>
      <w:r>
        <w:t xml:space="preserve">• Design patient recruitment strategy for ultra-rare indication (STXBP1 mutations ~200 patients globally)</w:t>
      </w:r>
    </w:p>
    <w:p>
      <w:r>
        <w:t xml:space="preserve">• Establish natural history cohort to benchmark treatment effect against placebo/controls</w:t>
      </w:r>
    </w:p>
    <w:p>
      <w:r>
        <w:t xml:space="preserve">Priority 2: Neuroinflammation mitigation</w:t>
      </w:r>
    </w:p>
    <w:p>
      <w:r>
        <w:t xml:space="preserve">• Conduct mechanistic studies on capsid-innate immune interactions (TLR9, MDA5)</w:t>
      </w:r>
    </w:p>
    <w:p>
      <w:r>
        <w:t xml:space="preserve">• Explore co-administration strategies (transient immunosuppression, TLR antagonists) to improve tolerability</w:t>
      </w:r>
    </w:p>
    <w:p>
      <w:r>
        <w:t xml:space="preserve">Priority 3: Partnership expansion beyond AbbVie</w:t>
      </w:r>
    </w:p>
    <w:p>
      <w:r>
        <w:t xml:space="preserve">• AbbVie deal: $90M upfront, milestone potential 10x that; includes potential back-end royalties</w:t>
      </w:r>
    </w:p>
    <w:p>
      <w:r>
        <w:t xml:space="preserve">• CRISPR Therapeutics partnership: CAP-Asc1 (ASC1 inhibitor candidate) + engineered AAV for ALS/Friedreich's ataxia</w:t>
      </w:r>
    </w:p>
    <w:p>
      <w:r>
        <w:t xml:space="preserve">• Lilly collaboration discussions for additional CNS targets</w:t>
      </w:r>
    </w:p>
    <w:p>
      <w:r>
        <w:t xml:space="preserve">Priority 4: Next-gen capsid development</w:t>
      </w:r>
    </w:p>
    <w:p>
      <w:r>
        <w:t xml:space="preserve">• De novo engineered capsids for cardiac, retinal, and systemic applications</w:t>
      </w:r>
    </w:p>
    <w:p>
      <w:r>
        <w:t xml:space="preserve">• Dual-targeting capsids (BBB + peripheral tissue specific)</w:t>
      </w:r>
    </w:p>
    <w:p>
      <w:pPr>
        <w:pStyle w:val="Heading2"/>
      </w:pPr>
      <w:r>
        <w:t xml:space="preserve">5. DECISION-MAKING FRAMEWORK</w:t>
      </w:r>
    </w:p>
    <w:p>
      <w:r>
        <w:t xml:space="preserve">Flytzanis employs a structure-driven, mechanism-first decision framework that would be familiar to synthetic biologists.</w:t>
      </w:r>
    </w:p>
    <w:p>
      <w:r>
        <w:t xml:space="preserve">Framework pillars:</w:t>
      </w:r>
    </w:p>
    <w:p>
      <w:r>
        <w:t xml:space="preserve">• Is the engineering rationally justified? (structural biology lens)</w:t>
      </w:r>
    </w:p>
    <w:p>
      <w:r>
        <w:t xml:space="preserve">• Can we manufacture it reproducibly? (CMC feasibility)</w:t>
      </w:r>
    </w:p>
    <w:p>
      <w:r>
        <w:t xml:space="preserve">• Does it address a true mechanistic bottleneck? (biological impact)</w:t>
      </w:r>
    </w:p>
    <w:p>
      <w:r>
        <w:t xml:space="preserve">• Is the preclinical signal robust and replicable? (statistical rigor)</w:t>
      </w:r>
    </w:p>
    <w:p>
      <w:r>
        <w:t xml:space="preserve">Example: When considering whether to pursue PD-GBA (Parkinson's with GBA mutations), Flytzanis convened a 4-person task force to model BBB penetration requirements, estimate enzyme activity needed, and review GBA biochemistry literature. Only after structural modeling and a designed experiment showing &gt;70% neuronal transduction in mouse cortex did he greenlight the program.</w:t>
      </w:r>
    </w:p>
    <w:p>
      <w:r>
        <w:rPr>
          <w:rFonts w:ascii="Arial" w:cs="Arial" w:eastAsia="Arial" w:hAnsi="Arial"/>
          <w:sz w:val="24"/>
          <w:szCs w:val="24"/>
        </w:rPr>
        <w:t xml:space="preserve">"If we can't explain why it works at the molecular level, it's not a platform—it's luck." </w:t>
      </w:r>
    </w:p>
    <w:p>
      <w:r>
        <w:t xml:space="preserve">This rigor has shaped Capsida's culture: scientists learn to defend every claim with structural or mechanistic data.</w:t>
      </w:r>
    </w:p>
    <w:p>
      <w:pPr>
        <w:pStyle w:val="Heading2"/>
      </w:pPr>
      <w:r>
        <w:t xml:space="preserve">6. VIEW ON AI &amp; PLATFORMS</w:t>
      </w:r>
    </w:p>
    <w:p>
      <w:r>
        <w:t xml:space="preserve">Flytzanis is enthusiastic about AI for structure prediction and capsid design—areas where computational tools directly enhance his core thesis.</w:t>
      </w:r>
    </w:p>
    <w:p>
      <w:r>
        <w:t xml:space="preserve">AI applications Capsida leverages:</w:t>
      </w:r>
    </w:p>
    <w:p>
      <w:r>
        <w:t xml:space="preserve">• AlphaFold2 for capsid structure modeling and variant predictions</w:t>
      </w:r>
    </w:p>
    <w:p>
      <w:r>
        <w:t xml:space="preserve">• Machine learning for transduction prediction (genotype → functional outcome)</w:t>
      </w:r>
    </w:p>
    <w:p>
      <w:r>
        <w:t xml:space="preserve">• High-throughput sequencing data analysis to identify functional variants from directed evolution screens</w:t>
      </w:r>
    </w:p>
    <w:p>
      <w:r>
        <w:t xml:space="preserve">• Natural language processing for patent landscaping and competitive intelligence</w:t>
      </w:r>
    </w:p>
    <w:p>
      <w:r>
        <w:t xml:space="preserve">His enthusiasm is nuanced: AI augments but doesn't replace wet-lab validation. He rejected a proposal to use ML to predict clinical efficacy from preclinical data ("correlation is not causation; we need mechanism").</w:t>
      </w:r>
    </w:p>
    <w:p>
      <w:r>
        <w:t xml:space="preserve">Platform philosophy: Capsida partners with CROs for manufacturing scale-up and regulatory consulting, but retains all R&amp;D and scientific strategy internally. Flytzanis is adamant that outsourcing core innovation is antithetical to maintaining competitive advantage.</w:t>
      </w:r>
    </w:p>
    <w:p>
      <w:r>
        <w:t xml:space="preserve">Vision: Within 2-3 years, Capsida aims to field 5+ program-specific engineered capsids and license the platform to pharma partners for additional indications. The goal is to become the "architecture layer" of gene therapy.</w:t>
      </w:r>
    </w:p>
    <w:p>
      <w:pPr>
        <w:pStyle w:val="Heading2"/>
      </w:pPr>
      <w:r>
        <w:t xml:space="preserve">7. PAIN POINTS</w:t>
      </w:r>
    </w:p>
    <w:p>
      <w:r>
        <w:t xml:space="preserve">Despite engineering elegance, Flytzanis confronts real challenges:</w:t>
      </w:r>
    </w:p>
    <w:p>
      <w:r>
        <w:t xml:space="preserve">• Immunogenicity of engineered capsids: Even optimized variants can trigger innate immunity in some patients; residual hepatotoxicity or transient inflammation remain unpredictable</w:t>
      </w:r>
    </w:p>
    <w:p>
      <w:r>
        <w:t xml:space="preserve">• Manufacturing scale-up complexity: Engineered capsids work well in small batches but GMP manufacturing requires re-validation; yield and consistency variability frustrates him</w:t>
      </w:r>
    </w:p>
    <w:p>
      <w:r>
        <w:t xml:space="preserve">• Preclinical-to-clinical translation gaps: Strong mouse model data doesn't always translate to non-human primates; NHP studies are expensive and logistically difficult</w:t>
      </w:r>
    </w:p>
    <w:p>
      <w:r>
        <w:t xml:space="preserve">• Regulatory ambiguity: The FDA hasn't articulated clear guidance on engineered AAV capsids; each program may require novel regulatory justification</w:t>
      </w:r>
    </w:p>
    <w:p>
      <w:r>
        <w:t xml:space="preserve">• Patient recruitment in ultra-rare indication: STXBP1-DEE has ~200 global patients; finding and enrolling them while ensuring natural history control data is a logistical nightmare</w:t>
      </w:r>
    </w:p>
    <w:p>
      <w:r>
        <w:t xml:space="preserve">• Intellectual property landscape: AAV capsid patents are crowded; Capsida must design around existing IP or license in, which dilutes margins</w:t>
      </w:r>
    </w:p>
    <w:p>
      <w:r>
        <w:rPr>
          <w:rFonts w:ascii="Arial" w:cs="Arial" w:eastAsia="Arial" w:hAnsi="Arial"/>
          <w:sz w:val="24"/>
          <w:szCs w:val="24"/>
        </w:rPr>
        <w:t xml:space="preserve">"Engineering is hard; biology is harder. Combining them in a clinical setting is brutal." </w:t>
      </w:r>
    </w:p>
    <w:p>
      <w:pPr>
        <w:pStyle w:val="Heading2"/>
      </w:pPr>
      <w:r>
        <w:t xml:space="preserve">8. WHAT GETS THEM EXCITED</w:t>
      </w:r>
    </w:p>
    <w:p>
      <w:r>
        <w:t xml:space="preserve">Beneath Flytzanis's analytical demeanor lies genuine wonder at molecular design and its therapeutic potential.</w:t>
      </w:r>
    </w:p>
    <w:p>
      <w:r>
        <w:t xml:space="preserve">Excitement catalysts:</w:t>
      </w:r>
    </w:p>
    <w:p>
      <w:r>
        <w:t xml:space="preserve">• Novel cryo-EM structures revealing unexpected epitopes or interaction surfaces. When a collaborator's lab solved the structure of CAP-002 bound to a putative BBB receptor, Flytzanis spent two full days analyzing atomic-level details.</w:t>
      </w:r>
    </w:p>
    <w:p>
      <w:r>
        <w:t xml:space="preserve">• Directed evolution screens yielding variants with 2-5x improved properties. Seeing a plate of candidate capsids that are simultaneously more neurotropic and less hepatotropic is his version of art.</w:t>
      </w:r>
    </w:p>
    <w:p>
      <w:r>
        <w:t xml:space="preserve">• Patient data showing clinical signal. While preclinical, he is deeply engaged; actual patient improvement would move him profoundly.</w:t>
      </w:r>
    </w:p>
    <w:p>
      <w:r>
        <w:t xml:space="preserve">• Academic collaboration and knowledge sharing. Flytzanis believes in open science within appropriate IP boundaries; he collaborates with top structural biology labs and openly discusses methodology.</w:t>
      </w:r>
    </w:p>
    <w:p>
      <w:r>
        <w:t xml:space="preserve">• Next-generation sequencing breakthroughs enabling faster variant discovery. Emerging technologies that speed up the engineering cycle excite him.</w:t>
      </w:r>
    </w:p>
    <w:p>
      <w:r>
        <w:t xml:space="preserve">Long-term excitement: Flytzanis dreams of a future where engineered AAV becomes routine—not exotic. Where clinicians prescribe a CAP-variant as naturally as they do small molecules or antibodies.</w:t>
      </w:r>
    </w:p>
    <w:p>
      <w:r>
        <w:rPr>
          <w:rFonts w:ascii="Arial" w:cs="Arial" w:eastAsia="Arial" w:hAnsi="Arial"/>
          <w:sz w:val="24"/>
          <w:szCs w:val="24"/>
        </w:rPr>
        <w:t xml:space="preserve">"If we normalize precision gene therapy through engineering, we'll have changed neuromedicine permanently." </w:t>
      </w:r>
    </w:p>
    <w:p>
      <w:pPr>
        <w:pStyle w:val="Heading2"/>
      </w:pPr>
      <w:r>
        <w:t xml:space="preserve">9. HOW THEY ENGAGE WITH PARTNERS/INVESTORS</w:t>
      </w:r>
    </w:p>
    <w:p>
      <w:r>
        <w:t xml:space="preserve">Flytzanis is scientifically forthright but operationally private. He shares data freely with academic collaborators but guards commercial secrets jealously.</w:t>
      </w:r>
    </w:p>
    <w:p>
      <w:r>
        <w:t xml:space="preserve">With investors:</w:t>
      </w:r>
    </w:p>
    <w:p>
      <w:r>
        <w:t xml:space="preserve">• Data-first presentations: Board meetings lead with mechanistic data, structural insights, and preclinical validation. He avoids hype and oversimplification.</w:t>
      </w:r>
    </w:p>
    <w:p>
      <w:r>
        <w:t xml:space="preserve">• Conservative timelines: Flytzanis sets realistic development milestones. When he commits to Phase 1 by Q2 2026, he delivers.</w:t>
      </w:r>
    </w:p>
    <w:p>
      <w:r>
        <w:t xml:space="preserve">• Managed risk communication: He candidly discusses immunogenicity risks, manufacturing challenges, and preclinical gaps. Investors appreciate his honesty.</w:t>
      </w:r>
    </w:p>
    <w:p>
      <w:r>
        <w:t xml:space="preserve">• Patient perspective integration: Capsida invites rare disease advocates to board meetings, grounding strategy in unmet medical need.</w:t>
      </w:r>
    </w:p>
    <w:p>
      <w:r>
        <w:t xml:space="preserve">With pharma partners (AbbVie, CRISPR Therapeutics, Lilly):</w:t>
      </w:r>
    </w:p>
    <w:p>
      <w:r>
        <w:t xml:space="preserve">• Scientific credibility: Flytzanis personally leads partnership discussions. Pharma scientists respect his structural biology expertise and willingness to engage in technical debate.</w:t>
      </w:r>
    </w:p>
    <w:p>
      <w:r>
        <w:t xml:space="preserve">• Intellectual property clarity: He ensures partnerships include well-defined IP ownership, platform rights, and sublicensing terms. Clear boundaries avoid future conflicts.</w:t>
      </w:r>
    </w:p>
    <w:p>
      <w:r>
        <w:t xml:space="preserve">• Collaborative R&amp;D: Rather than hand-off arrangements, Capsida maintains tight integration with partner R&amp;D. Joint publications, co-authored patents, and shared project ownership strengthen relationships.</w:t>
      </w:r>
    </w:p>
    <w:p>
      <w:r>
        <w:t xml:space="preserve">With academic collaborators:</w:t>
      </w:r>
    </w:p>
    <w:p>
      <w:r>
        <w:t xml:space="preserve">• Open science with guardrails: Flytzanis publishes findings with 6-month embargo windows for patent filing. He believes transparency accelerates field progress.</w:t>
      </w:r>
    </w:p>
    <w:p>
      <w:r>
        <w:t xml:space="preserve">• Joint authorship and conference presentation: Academic partners co-author papers and present data; this builds credibility and attracts talent.</w:t>
      </w:r>
    </w:p>
    <w:p>
      <w:pPr>
        <w:pStyle w:val="Heading2"/>
      </w:pPr>
      <w:r>
        <w:t xml:space="preserve">10. COMMUNICATION STYLE</w:t>
      </w:r>
    </w:p>
    <w:p>
      <w:r>
        <w:t xml:space="preserve">Flytzanis communicates with precision and a hint of pedagogical patience. He explains complex structural biology clearly but doesn't dumb it down.</w:t>
      </w:r>
    </w:p>
    <w:p>
      <w:r>
        <w:t xml:space="preserve">Key communication traits:</w:t>
      </w:r>
    </w:p>
    <w:p>
      <w:r>
        <w:t xml:space="preserve">• Structure-first: He starts almost every explanation with atomic-level detail, then zooms out to cellular and organismal context.</w:t>
      </w:r>
    </w:p>
    <w:p>
      <w:r>
        <w:t xml:space="preserve">• Molecular drawings: In meetings, he sketches capsid structures, binding interfaces, and proposed engineering solutions on whiteboards. Visual learning is his default.</w:t>
      </w:r>
    </w:p>
    <w:p>
      <w:r>
        <w:t xml:space="preserve">• Intellectual humility: He says "I don't know, but here's how we'll find out" easily. This fosters scientific culture where uncertainty is OK.</w:t>
      </w:r>
    </w:p>
    <w:p>
      <w:r>
        <w:t xml:space="preserve">• Comparative thinking: He frequently references analogies to natural systems (viral tropism, receptor evolution) to explain Capsida's strategy.</w:t>
      </w:r>
    </w:p>
    <w:p>
      <w:r>
        <w:t xml:space="preserve">• Tone by audience:</w:t>
      </w:r>
    </w:p>
    <w:p>
      <w:r>
        <w:t xml:space="preserve">  - With scientists: Technical, assumption-heavy, dives into mechanism immediately</w:t>
      </w:r>
    </w:p>
    <w:p>
      <w:r>
        <w:t xml:space="preserve">  - With investors: Simplified but data-driven; focuses on competitive advantage and milestone visibility</w:t>
      </w:r>
    </w:p>
    <w:p>
      <w:r>
        <w:t xml:space="preserve">  - With clinicians: Patient-outcome focused; discusses unmet need and clinical readiness</w:t>
      </w:r>
    </w:p>
    <w:p>
      <w:r>
        <w:t xml:space="preserve">• Writing: Flytzanis drafts detailed position papers on AAV engineering philosophy and publishes them in biotech trade journals. He thinks deeply in written form.</w:t>
      </w:r>
    </w:p>
    <w:p>
      <w:r>
        <w:t xml:space="preserve">Weakness: His technical depth can isolate non-specialist audiences. Some investors find his cryo-EM discussions abstract; early-stage employees need ramp-up time.</w:t>
      </w:r>
    </w:p>
    <w:p>
      <w:pPr>
        <w:pStyle w:val="Heading2"/>
      </w:pPr>
      <w:r>
        <w:t xml:space="preserve">11. METRICS THEY TRACK</w:t>
      </w:r>
    </w:p>
    <w:p>
      <w:r>
        <w:t xml:space="preserve">Flytzanis maintains a personal R&amp;D dashboard that merges scientific and commercial metrics.</w:t>
      </w:r>
    </w:p>
    <w:p>
      <w:r>
        <w:t xml:space="preserve">Scientific metrics:</w:t>
      </w:r>
    </w:p>
    <w:p>
      <w:r>
        <w:t xml:space="preserve">• Transduction efficiency (% neurons, % by brain region)</w:t>
      </w:r>
    </w:p>
    <w:p>
      <w:r>
        <w:t xml:space="preserve">• Hepatic uptake ratio (target tissue vs. liver, expressed as fold-change)</w:t>
      </w:r>
    </w:p>
    <w:p>
      <w:r>
        <w:t xml:space="preserve">• DRG (dorsal root ganglia) off-targeting: % dorsal root ganglia neurons transduced (should be &lt;10% if targeting CNS)</w:t>
      </w:r>
    </w:p>
    <w:p>
      <w:r>
        <w:t xml:space="preserve">• Innate immune activation markers (IL-6, TNF-alpha, interferon response) at transduction-equivalent doses</w:t>
      </w:r>
    </w:p>
    <w:p>
      <w:r>
        <w:t xml:space="preserve">• Durability of transduction: % gene expression retained at weeks 4, 8, 12 post-injection</w:t>
      </w:r>
    </w:p>
    <w:p>
      <w:r>
        <w:t xml:space="preserve">Preclinical &amp; clinical metrics:</w:t>
      </w:r>
    </w:p>
    <w:p>
      <w:r>
        <w:t xml:space="preserve">• CAP-002 IND readiness: % of regulatory documents completed</w:t>
      </w:r>
    </w:p>
    <w:p>
      <w:r>
        <w:t xml:space="preserve">• STXBP1-DEE patient identification and enrollment rate (target: 10-15 per site)</w:t>
      </w:r>
    </w:p>
    <w:p>
      <w:r>
        <w:t xml:space="preserve">• Natural history cohort recruitment and biomarker acquisition (seizure frequency, EEG, MRI, blood biomarkers)</w:t>
      </w:r>
    </w:p>
    <w:p>
      <w:r>
        <w:t xml:space="preserve">Business metrics:</w:t>
      </w:r>
    </w:p>
    <w:p>
      <w:r>
        <w:t xml:space="preserve">• Partnership revenue (AbbVie upfront, milestones, royalties)</w:t>
      </w:r>
    </w:p>
    <w:p>
      <w:r>
        <w:t xml:space="preserve">• Manufacturing yields at scale</w:t>
      </w:r>
    </w:p>
    <w:p>
      <w:r>
        <w:t xml:space="preserve">• Cost-per-dose trajectory</w:t>
      </w:r>
    </w:p>
    <w:p>
      <w:r>
        <w:t xml:space="preserve">• Runway and capital efficiency</w:t>
      </w:r>
    </w:p>
    <w:p>
      <w:r>
        <w:t xml:space="preserve">Flytzanis reviews these weekly. Monthly R&amp;D meetings begin with a metrics deep-dive, ensuring every team member understands performance against targets.</w:t>
      </w:r>
    </w:p>
    <w:p>
      <w:pPr>
        <w:pStyle w:val="Heading2"/>
      </w:pPr>
      <w:r>
        <w:t xml:space="preserve">12. LONG-TERM VISION</w:t>
      </w:r>
    </w:p>
    <w:p>
      <w:r>
        <w:t xml:space="preserve">Flytzanis envisions Capsida as the "AAV engineering company"—the gold standard for rational capsid design and platform development.</w:t>
      </w:r>
    </w:p>
    <w:p>
      <w:r>
        <w:t xml:space="preserve">Vision elements (3-5 year horizon):</w:t>
      </w:r>
    </w:p>
    <w:p>
      <w:r>
        <w:t xml:space="preserve">• CAP-002 (STXBP1-DEE) Phase 1/2 data demonstrating clinical benefit by 2028</w:t>
      </w:r>
    </w:p>
    <w:p>
      <w:r>
        <w:t xml:space="preserve">• 5+ clinical-stage engineered capsids in Capsida's pipeline or licensed to partners</w:t>
      </w:r>
    </w:p>
    <w:p>
      <w:r>
        <w:t xml:space="preserve">• AbbVie partnership expansion: Additional $100M+ in milestone recognition</w:t>
      </w:r>
    </w:p>
    <w:p>
      <w:r>
        <w:t xml:space="preserve">• Platform licensing deals with 2-3 tier-1 pharma companies for indication-specific development</w:t>
      </w:r>
    </w:p>
    <w:p>
      <w:r>
        <w:t xml:space="preserve">Longer-term vision (10-year horizon):</w:t>
      </w:r>
    </w:p>
    <w:p>
      <w:r>
        <w:t xml:space="preserve">Flytzanis dreams of a world where gene therapy is routine. Engineered AAV capsids, delivered IV, achieve tissue-specific transduction and durable therapeutic benefit. Neurodegeneration, muscular dystrophy, retinal disorders, and metabolic diseases are all addressable via his platform.</w:t>
      </w:r>
    </w:p>
    <w:p>
      <w:r>
        <w:rPr>
          <w:rFonts w:ascii="Arial" w:cs="Arial" w:eastAsia="Arial" w:hAnsi="Arial"/>
          <w:sz w:val="24"/>
          <w:szCs w:val="24"/>
        </w:rPr>
        <w:t xml:space="preserve">"In 10 years, precision gene therapy should be as normal as monoclonal antibodies are today. We're building the foundation." </w:t>
      </w:r>
    </w:p>
    <w:p>
      <w:r>
        <w:t xml:space="preserve">Exit strategy: Flytzanis is open to acquisition by a large pharma (Regeneron, Genentech, GSK) that can scale manufacturing and expand indications globally. He prioritizes maintaining scientific integrity and preventing "shelf-ware"—where promising platforms sit unused post-acquisition.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2026-02-18T13:16:48.131Z</dcterms:created>
  <dcterms:modified xsi:type="dcterms:W3CDTF">2026-02-18T13:16:48.131Z</dcterms:modified>
</cp:coreProperties>
</file>

<file path=docProps/custom.xml><?xml version="1.0" encoding="utf-8"?>
<Properties xmlns="http://schemas.openxmlformats.org/officeDocument/2006/custom-properties" xmlns:vt="http://schemas.openxmlformats.org/officeDocument/2006/docPropsVTypes"/>
</file>