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360"/>
      </w:pPr>
      <w:r>
        <w:t xml:space="preserve">Dr. Ryan Watts, PhD</w:t>
      </w:r>
    </w:p>
    <w:p>
      <w:pPr>
        <w:pStyle w:val="Heading2"/>
        <w:spacing w:line="360" w:after="200"/>
      </w:pPr>
      <w:r>
        <w:t xml:space="preserve">CEO &amp; Co-Founder, Denali Therapeutics</w:t>
      </w:r>
    </w:p>
    <w:p>
      <w:pPr>
        <w:pStyle w:val="Heading2"/>
        <w:spacing w:before="200" w:after="100" w:line="360"/>
      </w:pPr>
      <w:r>
        <w:t xml:space="preserve">1. Executive Summary</w:t>
      </w:r>
    </w:p>
    <w:p>
      <w:pPr>
        <w:spacing w:line="360" w:after="100"/>
        <w:jc w:val="both"/>
      </w:pPr>
      <w:r>
        <w:t xml:space="preserve">Dr. Ryan Watts is the CEO and Co-Founder of Denali Therapeutics, a company built on one of the most transformative platform technologies in neuroscience: the TransportVehicle (TV) platform for blood-brain barrier (BBB) delivery. Denali represents a fundamental shift in how large, biologics-based therapeutics can reach the brain—solving one of the most vexing challenges in neuroscience drug development.</w:t>
      </w:r>
    </w:p>
    <w:p>
      <w:pPr>
        <w:spacing w:line="360" w:after="100"/>
        <w:jc w:val="both"/>
      </w:pPr>
      <w:r>
        <w:t xml:space="preserve">With tividenofusp alfa (DNL310), Denali's lead program, now in Biologics License Application (BLA) review with Priority Review status and a Prescription Drug User Fee Act (PDUFA) date in April 2026, the company stands at the threshold of a major regulatory milestone. If approved, tividenofusp alfa will be the first enzyme replacement therapy to achieve therapeutic levels in the brain, transforming treatment for Hunter syndrome and opening new therapeutic horizons for dozens of lysosomal storage diseases.</w:t>
      </w:r>
    </w:p>
    <w:p>
      <w:pPr>
        <w:spacing w:line="360" w:after="100"/>
        <w:jc w:val="both"/>
      </w:pPr>
      <w:r>
        <w:t xml:space="preserve">Dr. Watts brings entrepreneurial vision, scientific rigor, and strategic acumen developed through decades in neuroscience drug development. As CEO and co-founder, he maintains both scientific leadership and operational oversight, ensuring that Denali's strategy remains grounded in the fundamental biology of the TV platform.</w:t>
      </w:r>
    </w:p>
    <w:p>
      <w:pPr>
        <w:pStyle w:val="Heading2"/>
        <w:spacing w:before="200" w:after="100" w:line="360"/>
      </w:pPr>
      <w:r>
        <w:t xml:space="preserve">2. Background &amp; Career Arc</w:t>
      </w:r>
    </w:p>
    <w:p>
      <w:pPr>
        <w:spacing w:line="360" w:after="100"/>
        <w:jc w:val="both"/>
      </w:pPr>
      <w:r>
        <w:t xml:space="preserve">Dr. Ryan Watts' career is inextricably linked to the evolution of neurodegeneration therapeutics and the recognition that BBB-penetrating biologics represent a frontier opportunity.</w:t>
      </w:r>
    </w:p>
    <w:p>
      <w:pPr>
        <w:spacing w:line="360" w:after="100"/>
        <w:jc w:val="both"/>
      </w:pPr>
      <w:r>
        <w:t xml:space="preserve">After completing his PhD in neuroscience, Dr. Watts spent over two decades at Genentech, one of the world's leading biotechnology companies. During his tenure, he held progressive leadership roles, including Director of Neuroscience Research. At Genentech, Dr. Watts witnessed the emergence of monoclonal antibodies as powerful therapeutic tools—but also encountered the fundamental limitation that large molecules could not reach the brain due to the BBB.</w:t>
      </w:r>
    </w:p>
    <w:p>
      <w:pPr>
        <w:spacing w:line="360" w:after="100"/>
        <w:jc w:val="both"/>
      </w:pPr>
      <w:r>
        <w:t xml:space="preserve">This recognition—that hundreds of validated brain targets remained undruggable because of BBB impermeability—became the intellectual seed for what would become the TransportVehicle platform. Dr. Watts realized that if large biologics could be engineered to cross the BBB, entire new therapeutic domains would open: antibodies for neurodegenerative diseases, enzymes for lysosomal disorders, and large proteins for CNS protein deficiency diseases.</w:t>
      </w:r>
    </w:p>
    <w:p>
      <w:pPr>
        <w:spacing w:line="360" w:after="100"/>
        <w:jc w:val="both"/>
      </w:pPr>
      <w:r>
        <w:t xml:space="preserve">During his final years at Genentech, Dr. Watts led internal initiatives to develop BBB-penetrating approaches, laying the scientific groundwork for Denali's platform. When the opportunity to found Denali emerged in 2014, Dr. Watts left Genentech to build a company entirely dedicated to solving this problem.</w:t>
      </w:r>
    </w:p>
    <w:p>
      <w:pPr>
        <w:spacing w:line="360" w:after="100"/>
        <w:jc w:val="both"/>
      </w:pPr>
      <w:r>
        <w:t xml:space="preserve">Key career highlights:
• Spent 20+ years at Genentech directing neuroscience research strategy
• Led development of monoclonal antibodies targeting Alzheimer's disease pathology
• Pioneered internal research into BBB-penetrating biologics
• Published extensively on neuroscience and CNS delivery in top journals
• Built large, multidisciplinary research teams spanning neurobiology, immunology, and chemistry</w:t>
      </w:r>
    </w:p>
    <w:p>
      <w:pPr>
        <w:pStyle w:val="Heading2"/>
        <w:spacing w:before="200" w:after="100" w:line="360"/>
      </w:pPr>
      <w:r>
        <w:t xml:space="preserve">3. Current Role: CEO &amp; Co-Founder of Denali Therapeutics</w:t>
      </w:r>
    </w:p>
    <w:p>
      <w:pPr>
        <w:spacing w:line="360" w:after="100"/>
        <w:jc w:val="both"/>
      </w:pPr>
      <w:r>
        <w:t xml:space="preserve">As CEO and Co-Founder, Dr. Watts holds ultimate responsibility for Denali's strategy, science, and operations. His mandate extends from defining the long-term vision to managing day-to-day execution.</w:t>
      </w:r>
    </w:p>
    <w:p>
      <w:pPr>
        <w:spacing w:line="360" w:after="100"/>
        <w:jc w:val="both"/>
      </w:pPr>
      <w:r>
        <w:t xml:space="preserve">Key responsibilities:
• Overall scientific and clinical strategy for the company
• Oversight of the TransportVehicle platform development
• Portfolio management across enzyme replacement, antibody, and protein therapy programs
• Clinical development and regulatory interactions for lead programs
• Board relations and investor communications
• External partnerships including the Biogen collaboration
• Talent recruitment and organizational development
• Financial and operational planning</w:t>
      </w:r>
    </w:p>
    <w:p>
      <w:pPr>
        <w:spacing w:line="360" w:after="100"/>
        <w:jc w:val="both"/>
      </w:pPr>
      <w:r>
        <w:t xml:space="preserve">What distinguishes Dr. Watts' leadership is his ability to maintain dual perspective: the big-picture vision of transforming BBB-penetrating biology, and the granular details of preclinical development and regulatory strategy. He is equally comfortable discussing the mechanistic basis of IgG transport across the BBB with neuroscientists or explaining market opportunity to investors.</w:t>
      </w:r>
    </w:p>
    <w:p>
      <w:pPr>
        <w:spacing w:line="360" w:after="100"/>
        <w:jc w:val="both"/>
      </w:pPr>
      <w:r>
        <w:t xml:space="preserve">Dr. Watts leads a company of approximately 200+ employees, organized into functional groups: Platform Development, Preclinical Research, Clinical Development, Manufacturing, and Business Operations. He meets regularly with each group to ensure alignment and rapid problem-solving.</w:t>
      </w:r>
    </w:p>
    <w:p>
      <w:pPr>
        <w:spacing w:line="360" w:after="100"/>
        <w:jc w:val="both"/>
      </w:pPr>
      <w:r>
        <w:t xml:space="preserve">During the critical phase leading to the PDUFA date in April 2026, Dr. Watts is heavily engaged with the clinical and regulatory teams, monitoring BLA review questions, ensuring timely responses to FDA inquiries, and preparing for potential approval scenarios.</w:t>
      </w:r>
    </w:p>
    <w:p>
      <w:pPr>
        <w:spacing w:line="360" w:after="100"/>
        <w:jc w:val="both"/>
      </w:pPr>
      <w:r>
        <w:t xml:space="preserve">Dr. Watts' style is hands-on yet delegating—he is comfortable stepping back and trusting his team while remaining strategically engaged in critical decisions.</w:t>
      </w:r>
    </w:p>
    <w:p>
      <w:pPr>
        <w:pStyle w:val="Heading2"/>
        <w:spacing w:before="200" w:after="100" w:line="360"/>
      </w:pPr>
      <w:r>
        <w:t xml:space="preserve">4. TransportVehicle (TV) Platform: Core Technology</w:t>
      </w:r>
    </w:p>
    <w:p>
      <w:pPr>
        <w:spacing w:line="360" w:after="100"/>
        <w:jc w:val="both"/>
      </w:pPr>
      <w:r>
        <w:t xml:space="preserve">The TransportVehicle platform represents Denali's fundamental IP and competitive moat. Understanding this technology is essential to understanding the company's strategy and value proposition.</w:t>
      </w:r>
    </w:p>
    <w:p>
      <w:pPr>
        <w:spacing w:line="360" w:after="100"/>
        <w:jc w:val="both"/>
      </w:pPr>
      <w:r>
        <w:t xml:space="preserve">BBB Challenge: The blood-brain barrier is a highly selective filtration system that admits small lipophilic molecules and essential nutrients while blocking essentially all large molecules. This is protective against pathogens and toxins but creates a profound developmental challenge: antibodies, enzymes, and large proteins cannot reach the brain.</w:t>
      </w:r>
    </w:p>
    <w:p>
      <w:pPr>
        <w:spacing w:line="360" w:after="100"/>
        <w:jc w:val="both"/>
      </w:pPr>
      <w:r>
        <w:t xml:space="preserve">TV Solution: Denali's TransportVehicle technology consists of engineered antibody-like molecules designed to bind a BBB-penetrating receptor on brain endothelial cells. By engineering a therapeutic protein (enzyme, antibody, or other biologic) to include a TV moiety, that protein can cross the BBB and reach parenchymal brain tissue.</w:t>
      </w:r>
    </w:p>
    <w:p>
      <w:pPr>
        <w:spacing w:line="360" w:after="100"/>
        <w:jc w:val="both"/>
      </w:pPr>
      <w:r>
        <w:t xml:space="preserve">Mechanism:
• TV binds transferrin receptor (TfR) or other BBB transporter
• Receptor-ligand complex undergoes transcytosis across endothelial cells
• Therapeutic cargo crosses the BBB and is released in brain parenchyma
• Therapeutic engages brain target</w:t>
      </w:r>
    </w:p>
    <w:p>
      <w:pPr>
        <w:spacing w:line="360" w:after="100"/>
        <w:jc w:val="both"/>
      </w:pPr>
      <w:r>
        <w:t xml:space="preserve">Key advantages of TV technology:
• Modularity: The TV can be fused to different therapeutic payloads (enzymes, antibodies, proteins)
• Specificity: Engineered TV achieves 10-30X brain exposure for antibodies, 1000X+ for oligonucleotides
• Manufacturability: TV-fused molecules retain manufacturing characteristics of parent biologics
• Safety: TV molecules retain normal systemic clearance, avoiding brain accumulation
• Differentiation: Multiple patent families protect TV approach across indications</w:t>
      </w:r>
    </w:p>
    <w:p>
      <w:pPr>
        <w:spacing w:line="360" w:after="100"/>
        <w:jc w:val="both"/>
      </w:pPr>
      <w:r>
        <w:t xml:space="preserve">Preclinical and clinical evidence:
• Denali has demonstrated TV efficacy in models of Huntington's disease, Parkinson's disease, Alzheimer's disease, and multiple lysosomal storage diseases
• Tividenofusp alfa achieved substantial brain enzyme levels and functional improvement in Hunter syndrome patients
• Biogen partnership confirms external validation of TV platform (see Section 6)
• Multiple programs in development across enzyme replacement, antibody, and protein categories</w:t>
      </w:r>
    </w:p>
    <w:p>
      <w:pPr>
        <w:spacing w:line="360" w:after="100"/>
        <w:jc w:val="both"/>
      </w:pPr>
      <w:r>
        <w:t xml:space="preserve">Dr. Watts emphasizes that TransportVehicle represents a platform, not a single program. The fundamental IP unlocks opportunities across dozens of potential indications. This platform nature provides substantial optionality and reduces single-program risk.</w:t>
      </w:r>
    </w:p>
    <w:p>
      <w:pPr>
        <w:pStyle w:val="Heading2"/>
        <w:spacing w:before="200" w:after="100" w:line="360"/>
      </w:pPr>
      <w:r>
        <w:t xml:space="preserve">5. Lead Program: Tividenofusp Alfa (DNL310) &amp; Hunter Syndrome</w:t>
      </w:r>
    </w:p>
    <w:p>
      <w:pPr>
        <w:spacing w:line="360" w:after="100"/>
        <w:jc w:val="both"/>
      </w:pPr>
      <w:r>
        <w:t xml:space="preserve">Tividenofusp alfa, or DNL310, is Denali's lead program and the company's first anticipated regulatory approval. The program exemplifies the power of the TV platform applied to a well-defined clinical need.</w:t>
      </w:r>
    </w:p>
    <w:p>
      <w:pPr>
        <w:spacing w:line="360" w:after="100"/>
        <w:jc w:val="both"/>
      </w:pPr>
      <w:r>
        <w:t xml:space="preserve">Hunter Syndrome Background:
Hunter syndrome, or mucopolysaccharidosis II (MPS II), is an X-linked lysosomal storage disease caused by iduronate 2-sulfatase (IDS) deficiency. Accumulation of heparan sulfate and dermatan sulfate in tissues leads to progressive neurological, cardiac, skeletal, and visceral disease. Approximately 1,000-2,000 patients with Hunter syndrome exist in the US and Europe; many experience life-shortening disease and severe neurological complications including intellectual disability, neurodegeneration, and stroke-like episodes.</w:t>
      </w:r>
    </w:p>
    <w:p>
      <w:pPr>
        <w:spacing w:line="360" w:after="100"/>
        <w:jc w:val="both"/>
      </w:pPr>
      <w:r>
        <w:t xml:space="preserve">Current Treatment:
Eligage (idursulfase, intravenous enzyme replacement) is approved for systemic Hunter syndrome but does not cross the BBB and therefore does not treat the CNS manifestations—arguably the most disabling aspects of the disease.</w:t>
      </w:r>
    </w:p>
    <w:p>
      <w:pPr>
        <w:spacing w:line="360" w:after="100"/>
        <w:jc w:val="both"/>
      </w:pPr>
      <w:r>
        <w:t xml:space="preserve">Tividenofusp Alfa Mechanism:
DNL310 is a TV-fused iduronate 2-sulfatase designed to cross the BBB and deliver enzymatic activity to the CNS. By achieving substantial IDS levels in the brain, tividenofusp alfa aims to slow or arrest neurological progression in Hunter syndrome.</w:t>
      </w:r>
    </w:p>
    <w:p>
      <w:pPr>
        <w:spacing w:line="360" w:after="100"/>
        <w:jc w:val="both"/>
      </w:pPr>
      <w:r>
        <w:t xml:space="preserve">Clinical Development:
• Phase 1/2 trial in Hunter syndrome patients demonstrated:
  - Safety and tolerability
  - Dose-dependent increase in CSF IDS activity
  - Improvements in neurocognitive assessments and functional measures
  - Sustained benefit with continued dosing
• Extended follow-up data showed durability of benefit and acceptable safety profile
• BLA submission in Q3 2025
• PDUFA date: April 2026</w:t>
      </w:r>
    </w:p>
    <w:p>
      <w:pPr>
        <w:spacing w:line="360" w:after="100"/>
        <w:jc w:val="both"/>
      </w:pPr>
      <w:r>
        <w:t xml:space="preserve">If approved, tividenofusp alfa will be a first-in-class CNS enzyme replacement therapy, transforming treatment for a historically untreatable disease. For Hunter syndrome patients, approval would represent a genuine therapeutic breakthrough.</w:t>
      </w:r>
    </w:p>
    <w:p>
      <w:pPr>
        <w:spacing w:line="360" w:after="100"/>
        <w:jc w:val="both"/>
      </w:pPr>
      <w:r>
        <w:t xml:space="preserve">Market Opportunity:
• US market for Hunter syndrome: $400-600 million at peak
• European market: $200-300 million at peak
• Potential for label expansion to other lysosomal storage diseases (see Section 7)</w:t>
      </w:r>
    </w:p>
    <w:p>
      <w:pPr>
        <w:spacing w:line="360" w:after="100"/>
        <w:jc w:val="both"/>
      </w:pPr>
      <w:r>
        <w:t xml:space="preserve">Dr. Watts views tividenofusp alfa as not merely a single drug, but validation of the entire TransportVehicle platform. Approval would provide proof-of-concept that TV-fused biologics can achieve therapeutic efficacy in the CNS—a milestone with implications far beyond Hunter syndrome.</w:t>
      </w:r>
    </w:p>
    <w:p>
      <w:pPr>
        <w:pStyle w:val="Heading2"/>
        <w:spacing w:before="200" w:after="100" w:line="360"/>
      </w:pPr>
      <w:r>
        <w:t xml:space="preserve">6. Biogen Partnership &amp; LRRK2/Amyloid Beta Programs</w:t>
      </w:r>
    </w:p>
    <w:p>
      <w:pPr>
        <w:spacing w:line="360" w:after="100"/>
        <w:jc w:val="both"/>
      </w:pPr>
      <w:r>
        <w:t xml:space="preserve">In 2021, Denali established a transformative partnership with Biogen, one of the world's largest neuroscience-focused pharmaceutical companies. This partnership represents external validation of the TV platform and provides substantial strategic and commercial advantages to Denali.</w:t>
      </w:r>
    </w:p>
    <w:p>
      <w:pPr>
        <w:spacing w:line="360" w:after="100"/>
        <w:jc w:val="both"/>
      </w:pPr>
      <w:r>
        <w:t xml:space="preserve">Partnership Structure:
• Biogen obtained rights to co-develop TV-fused LRRK2 inhibitor (Parkinson's disease)
• Biogen obtained rights to co-develop TV-fused anti-amyloid beta antibody (Alzheimer's disease)
• Financial terms include upfront, milestone, and royalty payments
• Denali retains meaningful involvement in development and some rights to amyloid beta outside partnership scope</w:t>
      </w:r>
    </w:p>
    <w:p>
      <w:pPr>
        <w:spacing w:line="360" w:after="100"/>
        <w:jc w:val="both"/>
      </w:pPr>
      <w:r>
        <w:t xml:space="preserve">LRRK2 Program:
LRRK2 mutations cause familial and sporadic Parkinson's disease. Small molecule LRRK2 inhibitors show promise in preclinical models, but systemic LRRK2 inhibition carries potential safety liabilities (kidney effects, immunotoxicity). By engineering a TV-fused LRRK2 inhibitor, Denali and Biogen aim to achieve selective brain LRRK2 inhibition while minimizing systemic effects.</w:t>
      </w:r>
    </w:p>
    <w:p>
      <w:pPr>
        <w:spacing w:line="360" w:after="100"/>
        <w:jc w:val="both"/>
      </w:pPr>
      <w:r>
        <w:t xml:space="preserve">Development Status:
• Preclinical characterization ongoing
• IND application targeted for 2027
• Phase 1 initiation targeted for 2028
• Biogen's involvement brings experienced clinical trial infrastructure and Parkinson's disease expertise</w:t>
      </w:r>
    </w:p>
    <w:p>
      <w:pPr>
        <w:spacing w:line="360" w:after="100"/>
        <w:jc w:val="both"/>
      </w:pPr>
      <w:r>
        <w:t xml:space="preserve">Amyloid Beta Program:
Denali has engineered a TV-fused anti-amyloid beta antibody, leveraging lessons from monoclonal antibody development in Alzheimer's disease. By achieving 10-30X higher brain exposure than non-TV antibodies, the TV amyloid beta program potentially offers improved efficacy and reduced peripheral side effects compared to existing therapies (aducanumab, lecanemab).</w:t>
      </w:r>
    </w:p>
    <w:p>
      <w:pPr>
        <w:spacing w:line="360" w:after="100"/>
        <w:jc w:val="both"/>
      </w:pPr>
      <w:r>
        <w:t xml:space="preserve">Development Status:
• Preclinical studies demonstrating improved brain penetration and amyloid clearance
• IND application targeted for 2027-2028
• Biogen's involvement brings substantial Alzheimer's disease expertise and commercial reach</w:t>
      </w:r>
    </w:p>
    <w:p>
      <w:pPr>
        <w:spacing w:line="360" w:after="100"/>
        <w:jc w:val="both"/>
      </w:pPr>
      <w:r>
        <w:t xml:space="preserve">Strategic Significance of Biogen Partnership:
• Validates TV platform externally
• Provides funding and development resources
• Enables Denali to focus resources on enzyme replacement programs (core expertise) while partnering on antibody/small molecule programs
• Positions Denali as a technology platform company, not a single-indication company
• Reduces commercial risk by partnering with Biogen for indications requiring large commercial infrastructure</w:t>
      </w:r>
    </w:p>
    <w:p>
      <w:pPr>
        <w:spacing w:line="360" w:after="100"/>
        <w:jc w:val="both"/>
      </w:pPr>
      <w:r>
        <w:t xml:space="preserve">Dr. Watts views the Biogen partnership as transformational—it establishes Denali as a serious platform technology player and de-risks the overall enterprise.</w:t>
      </w:r>
    </w:p>
    <w:p>
      <w:pPr>
        <w:spacing w:line="360" w:after="100"/>
        <w:jc w:val="both"/>
      </w:pPr>
      <w:r>
        <w:t xml:space="preserve">Future Partnership Opportunities:
Denali is actively exploring additional partnerships with larger pharma companies for TV applications in other programs. The model established with Biogen is replicable and attractive to potential partners.</w:t>
      </w:r>
    </w:p>
    <w:p>
      <w:pPr>
        <w:pStyle w:val="Heading2"/>
        <w:spacing w:before="200" w:after="100" w:line="360"/>
      </w:pPr>
      <w:r>
        <w:t xml:space="preserve">7. Enzyme Replacement Pipeline: Sanfilippo &amp; Pompe Diseases</w:t>
      </w:r>
    </w:p>
    <w:p>
      <w:pPr>
        <w:spacing w:line="360" w:after="100"/>
        <w:jc w:val="both"/>
      </w:pPr>
      <w:r>
        <w:t xml:space="preserve">Beyond Hunter syndrome, Denali is developing TV-fused enzyme replacement therapies for additional lysosomal storage diseases where enzyme deficiency leads to progressive neurological disease.</w:t>
      </w:r>
    </w:p>
    <w:p>
      <w:pPr>
        <w:spacing w:line="360" w:after="100"/>
        <w:jc w:val="both"/>
      </w:pPr>
      <w:r>
        <w:t xml:space="preserve">Sanfilippo Syndrome (Mucopolysaccharidosis III):
Sanfilippo syndrome is a severe lysosomal storage disease caused by deficiency of enzymes required for heparan sulfate metabolism. The disease is characterized by profound neurological manifestations: developmental regression, severe behavioral problems, progressive neurological decline, and premature death (typically in teenage years).</w:t>
      </w:r>
    </w:p>
    <w:p>
      <w:pPr>
        <w:spacing w:line="360" w:after="100"/>
        <w:jc w:val="both"/>
      </w:pPr>
      <w:r>
        <w:t xml:space="preserve">Current Treatment:
No approved therapies exist for Sanfilippo syndrome. Gene therapy approaches are in development but carry limitations (vector immunogenicity, durability questions, targeted timing of treatment).</w:t>
      </w:r>
    </w:p>
    <w:p>
      <w:pPr>
        <w:spacing w:line="360" w:after="100"/>
        <w:jc w:val="both"/>
      </w:pPr>
      <w:r>
        <w:t xml:space="preserve">Denali's Approach:
• Developing TV-fused enzymes for the three main Sanfilippo subtypes (A, B, C)
• TV fusion enables substantial brain enzyme levels, potentially arresting or slowing neurological decline
• Preclinical models demonstrate efficacy
• IND application targeted for 2027-2028
• Phase 1/2 trial initiation targeted for 2028-2029</w:t>
      </w:r>
    </w:p>
    <w:p>
      <w:pPr>
        <w:spacing w:line="360" w:after="100"/>
        <w:jc w:val="both"/>
      </w:pPr>
      <w:r>
        <w:t xml:space="preserve">Pompe Disease:
Pompe disease is caused by acid alpha-glucosidase (GAA) deficiency, leading to glycogen accumulation in muscles and heart. The infantile-onset form presents with severe cardiac and skeletal muscle disease; the late-onset form is more slowly progressive.</w:t>
      </w:r>
    </w:p>
    <w:p>
      <w:pPr>
        <w:spacing w:line="360" w:after="100"/>
        <w:jc w:val="both"/>
      </w:pPr>
      <w:r>
        <w:t xml:space="preserve">Current Treatment:
Myozyme (alglucoside alfa, intravenous) is approved for Pompe disease but does not achieve therapeutic levels in brain. Some patients develop CNS involvement and cognitive decline.</w:t>
      </w:r>
    </w:p>
    <w:p>
      <w:pPr>
        <w:spacing w:line="360" w:after="100"/>
        <w:jc w:val="both"/>
      </w:pPr>
      <w:r>
        <w:t xml:space="preserve">Denali's Approach:
• Developing TV-fused GAA for CNS penetration
• Aims to treat both skeletal muscle/cardiac manifestations (with systemic drug) and CNS manifestations (with TV-fused CNS-penetrating formulation)
• Preclinical development ongoing
• IND application targeted for 2028-2029</w:t>
      </w:r>
    </w:p>
    <w:p>
      <w:pPr>
        <w:spacing w:line="360" w:after="100"/>
        <w:jc w:val="both"/>
      </w:pPr>
      <w:r>
        <w:t xml:space="preserve">Market Opportunities:
• Sanfilippo Syndrome: Market estimated at $300-500 million globally at peak
• Pompe Disease: Already approved therapy with peak sales ~$200-300 million; TV-fused variant could expand addressable population</w:t>
      </w:r>
    </w:p>
    <w:p>
      <w:pPr>
        <w:spacing w:line="360" w:after="100"/>
        <w:jc w:val="both"/>
      </w:pPr>
      <w:r>
        <w:t xml:space="preserve">Dr. Watts emphasizes that lysosomal storage diseases represent a natural fit for the TV platform. These diseases have:
• Well-defined enzymatic deficiencies
• Large unmet need (no CNS therapies available)
• Small patient populations (enabling regulatory pathways like Breakthrough Designation)
• Defined development timelines and endpoints
• Clear commercial opportunity</w:t>
      </w:r>
    </w:p>
    <w:p>
      <w:pPr>
        <w:spacing w:line="360" w:after="100"/>
        <w:jc w:val="both"/>
      </w:pPr>
      <w:r>
        <w:t xml:space="preserve">The enzyme replacement pipeline extends Denali's addressable market and de-risks the company by providing multiple shots on goal beyond the lead Hunter syndrome program.</w:t>
      </w:r>
    </w:p>
    <w:p>
      <w:pPr>
        <w:pStyle w:val="Heading2"/>
        <w:spacing w:before="200" w:after="100" w:line="360"/>
      </w:pPr>
      <w:r>
        <w:t xml:space="preserve">8. Competitive Landscape &amp; BBB Delivery Alternatives</w:t>
      </w:r>
    </w:p>
    <w:p>
      <w:pPr>
        <w:spacing w:line="360" w:after="100"/>
        <w:jc w:val="both"/>
      </w:pPr>
      <w:r>
        <w:t xml:space="preserve">The BBB delivery challenge has attracted intense scientific and commercial interest. Denali faces competition from multiple approaches, each with distinct advantages and limitations.</w:t>
      </w:r>
    </w:p>
    <w:p>
      <w:pPr>
        <w:spacing w:line="360" w:after="100"/>
        <w:jc w:val="both"/>
      </w:pPr>
      <w:r>
        <w:t xml:space="preserve">Transferrin Receptor (TfR) Fusion Approach:
Denali's TransportVehicle uses engineered TfR-binding molecules. Competitors using similar approaches include:
• Passage Bio: Developing TfR-fused therapies in lysosomal storage diseases
• uniQure: Pursuing TfR-mediated gene therapy delivery</w:t>
      </w:r>
    </w:p>
    <w:p>
      <w:pPr>
        <w:spacing w:line="360" w:after="100"/>
        <w:jc w:val="both"/>
      </w:pPr>
      <w:r>
        <w:t xml:space="preserve">TfR approaches have proven efficacy in preclinical models and early clinical data supports feasibility. Denali's advantage is the breadth of the platform and existing clinical data (tividenofusp alfa).</w:t>
      </w:r>
    </w:p>
    <w:p>
      <w:pPr>
        <w:spacing w:line="360" w:after="100"/>
        <w:jc w:val="both"/>
      </w:pPr>
      <w:r>
        <w:t xml:space="preserve">Gene Therapy Approaches:
Multiple companies are developing AAV and LentiViral-based gene therapies with tropism for CNS. Advantages include potential for one-time dosing and durable correction. Limitations include immune responses, durability questions, and difficulty in treating late-onset or adult-onset diseases.</w:t>
      </w:r>
    </w:p>
    <w:p>
      <w:pPr>
        <w:spacing w:line="360" w:after="100"/>
        <w:jc w:val="both"/>
      </w:pPr>
      <w:r>
        <w:t xml:space="preserve">Oligonucleotide Approaches:
Anti-sense oligonucleotides and RNA-based therapies can sometimes cross the BBB through special formulations (e.g., Spinraza for spinal muscular atrophy). Ionis and Biogen are pursuing multiple oligonucleotide programs. Limitations include limited target range compared to TV-fused proteins.</w:t>
      </w:r>
    </w:p>
    <w:p>
      <w:pPr>
        <w:spacing w:line="360" w:after="100"/>
        <w:jc w:val="both"/>
      </w:pPr>
      <w:r>
        <w:t xml:space="preserve">Microfluidic/Nanoparticle Approaches:
Companies are exploring lipid nanoparticles (LNPs), exosomes, and other nanoparticles for CNS delivery. Early stage but potentially complementary to TV approach.</w:t>
      </w:r>
    </w:p>
    <w:p>
      <w:pPr>
        <w:spacing w:line="360" w:after="100"/>
        <w:jc w:val="both"/>
      </w:pPr>
      <w:r>
        <w:t xml:space="preserve">Denali's Competitive Advantages:
• First mover: Tividenofusp alfa will be first TV product approved (April 2026, pending FDA decision)
• Platform breadth: TV applicable to enzymes, antibodies, large proteins
• Clinical data: Tividenofusp alfa provides proof-of-concept earlier than competitors
• Patent position: Strong IP coverage on TV technology across multiple approaches
• Strategic partnerships: Biogen partnership validates platform and provides resources</w:t>
      </w:r>
    </w:p>
    <w:p>
      <w:pPr>
        <w:spacing w:line="360" w:after="100"/>
        <w:jc w:val="both"/>
      </w:pPr>
      <w:r>
        <w:t xml:space="preserve">Competitive Risks:
• Gene therapy maturation: If gene therapies prove durable and safe, may compete with enzyme approaches
• Alternative BBB technologies: Other approaches may prove equally or more effective
• Generic competition: Once patent protection expires, follow-on competitors may enter</w:t>
      </w:r>
    </w:p>
    <w:p>
      <w:pPr>
        <w:spacing w:line="360" w:after="100"/>
        <w:jc w:val="both"/>
      </w:pPr>
      <w:r>
        <w:t xml:space="preserve">Dr. Watts' strategic view: Denali is not betting on TV being the only BBB solution. Rather, Denali is positioned to be the leader in IV enzyme replacement therapy that crosses the BBB. As the field matures, combination approaches (TV + gene therapy, TV + small molecule) may emerge. Denali's platform nature allows flexibility in adapting to competitive evolution.</w:t>
      </w:r>
    </w:p>
    <w:p>
      <w:pPr>
        <w:pStyle w:val="Heading2"/>
        <w:spacing w:before="200" w:after="100" w:line="360"/>
      </w:pPr>
      <w:r>
        <w:t xml:space="preserve">9. Clinical Development Strategy &amp; Regulatory Path</w:t>
      </w:r>
    </w:p>
    <w:p>
      <w:pPr>
        <w:spacing w:line="360" w:after="100"/>
        <w:jc w:val="both"/>
      </w:pPr>
      <w:r>
        <w:t xml:space="preserve">Denali's clinical development strategy reflects the regulatory landscape for rare neurological diseases and the novelty of the TV platform.</w:t>
      </w:r>
    </w:p>
    <w:p>
      <w:pPr>
        <w:spacing w:line="360" w:after="100"/>
        <w:jc w:val="both"/>
      </w:pPr>
      <w:r>
        <w:t xml:space="preserve">Hunter Syndrome Program (tividenofusp alfa):
Phase 1/2 Trial Design:
• Single-arm, open-label design (appropriate for rare disease)
• Patients with CNS-involved Hunter syndrome
• Primary endpoints: Safety, tolerability, CSF enzyme activity
• Secondary endpoints: Neurocognitive function, functional capacity, imaging measures
• Dosing: Monthly IV infusions of increasing doses
• Duration: 12-18 months follow-up with extended access for all patients</w:t>
      </w:r>
    </w:p>
    <w:p>
      <w:pPr>
        <w:spacing w:line="360" w:after="100"/>
        <w:jc w:val="both"/>
      </w:pPr>
      <w:r>
        <w:t xml:space="preserve">Key Clinical Considerations:
• Patient population is severely ill; any safety signals are immediately apparent
• Neurocognitive improvement is difficult to demonstrate, but stabilization/slowing of decline is meaningful
• Long-term follow-up data from patients in the Phase 1/2 trial demonstrate durability
• Extended access program allows all patients to continue therapy beyond formal trial</w:t>
      </w:r>
    </w:p>
    <w:p>
      <w:pPr>
        <w:spacing w:line="360" w:after="100"/>
        <w:jc w:val="both"/>
      </w:pPr>
      <w:r>
        <w:t xml:space="preserve">FDA Interactions:
• Type C meeting (April 2025) aligned on BLA components
• Type B meeting (September 2024) confirmed development strategy
• FDA feedback supports approval pathway; no major clinical or safety concerns raised</w:t>
      </w:r>
    </w:p>
    <w:p>
      <w:pPr>
        <w:spacing w:line="360" w:after="100"/>
        <w:jc w:val="both"/>
      </w:pPr>
      <w:r>
        <w:t xml:space="preserve">Additional Enzyme Programs (Sanfilippo, Pompe):
Based on success with tividenofusp alfa, subsequent enzyme programs will follow similar clinical development model:
• Phase 1/2 trials in rare disease populations
• Primary focus on safety, enzyme activity, and biomarkers
• Secondary focus on functional/clinical endpoints
• Timeline: IND applications 2027-2029, Phase 1/2 initiation 2028-2030</w:t>
      </w:r>
    </w:p>
    <w:p>
      <w:pPr>
        <w:spacing w:line="360" w:after="100"/>
        <w:jc w:val="both"/>
      </w:pPr>
      <w:r>
        <w:t xml:space="preserve">Biogen Partnership Programs (LRRK2, Amyloid Beta):
For larger disease populations (Parkinson's, Alzheimer's), development will follow traditional pharma model:
• Phase 1 safety studies
• Phase 2 PoC trials with imaging biomarkers
• Phase 2b/Phase 3 if efficacy demonstrated
• Timeline: Phase 1 initiation 2028-2029</w:t>
      </w:r>
    </w:p>
    <w:p>
      <w:pPr>
        <w:spacing w:line="360" w:after="100"/>
        <w:jc w:val="both"/>
      </w:pPr>
      <w:r>
        <w:t xml:space="preserve">Biomarker Strategy:
Denali places substantial emphasis on biomarkers to support clinical development:
• CSF enzyme activity (for enzyme replacement programs)
• Brain imaging (PET, MRI) for neurodegenerative programs
• Blood-based biomarkers (phospho-tau, neurofilament) for neurodegeneration
• Functional assessments (neurocognitive testing, motor function)</w:t>
      </w:r>
    </w:p>
    <w:p>
      <w:pPr>
        <w:spacing w:line="360" w:after="100"/>
        <w:jc w:val="both"/>
      </w:pPr>
      <w:r>
        <w:t xml:space="preserve">Dr. Watts emphasizes that rigorous biomarker development is essential for demonstrating target engagement and supporting regulatory discussions. The novelty of the TV platform requires clear evidence that TV-fused molecules engage their targets in the brain.</w:t>
      </w:r>
    </w:p>
    <w:p>
      <w:pPr>
        <w:pStyle w:val="Heading2"/>
        <w:spacing w:before="200" w:after="100" w:line="360"/>
      </w:pPr>
      <w:r>
        <w:t xml:space="preserve">10. Manufacturing &amp; Supply Chain</w:t>
      </w:r>
    </w:p>
    <w:p>
      <w:pPr>
        <w:spacing w:line="360" w:after="100"/>
        <w:jc w:val="both"/>
      </w:pPr>
      <w:r>
        <w:t xml:space="preserve">Producing TV-fused biologics at scale presents distinct manufacturing challenges and opportunities.</w:t>
      </w:r>
    </w:p>
    <w:p>
      <w:pPr>
        <w:spacing w:line="360" w:after="100"/>
        <w:jc w:val="both"/>
      </w:pPr>
      <w:r>
        <w:t xml:space="preserve">Manufacturing Considerations:
• TV-fused molecules are biologics (proteins) produced in cell culture (CHO, HEK293)
• Slightly higher complexity than conventional antibodies or enzymes due to additional fusion domain
• Requires standard biologics manufacturing facilities and processes
• Scale-up from preclinical to GMP manufacturing is straightforward</w:t>
      </w:r>
    </w:p>
    <w:p>
      <w:pPr>
        <w:spacing w:line="360" w:after="100"/>
        <w:jc w:val="both"/>
      </w:pPr>
      <w:r>
        <w:t xml:space="preserve">Denali's Approach:
• In-house GMP manufacturing facility operational in San Francisco Bay Area
• Partnerships with contract manufacturers (CMOs) for scale-up and commercial supply
• Multiple manufacturing sites to ensure supply chain redundancy
• Ongoing process optimization to improve yields and reduce costs</w:t>
      </w:r>
    </w:p>
    <w:p>
      <w:pPr>
        <w:spacing w:line="360" w:after="100"/>
        <w:jc w:val="both"/>
      </w:pPr>
      <w:r>
        <w:t xml:space="preserve">Supply Chain Strategy:
• Cell lines: Internal proprietary and licensed cell lines
• Raw materials: Standard biologics-grade reagents and consumables
• Quality: ISO 13485 and FDA compliance across all manufacturing operations
• Capacity planning: Scaling manufacturing to support clinical trials and eventual commercialization</w:t>
      </w:r>
    </w:p>
    <w:p>
      <w:pPr>
        <w:spacing w:line="360" w:after="100"/>
        <w:jc w:val="both"/>
      </w:pPr>
      <w:r>
        <w:t xml:space="preserve">Manufacturing Costs:
• TV-fused biologics have manufacturing costs comparable to conventional antibodies or enzymes (~$1-5 per gram, depending on expression level)
• Scale economies anticipated with increasing volume
• Price point for tividenofusp alfa anticipated at $400-600K per patient annually (for enzymatic drug products in rare diseases)</w:t>
      </w:r>
    </w:p>
    <w:p>
      <w:pPr>
        <w:spacing w:line="360" w:after="100"/>
        <w:jc w:val="both"/>
      </w:pPr>
      <w:r>
        <w:t xml:space="preserve">Future Considerations:
• As pipeline expands, manufacturing capacity may become limiting
• Denali evaluating additional manufacturing partnerships or facilities
• Cell line engineering to improve expression levels and reduce costs
• International manufacturing partnerships for European and Asian markets</w:t>
      </w:r>
    </w:p>
    <w:p>
      <w:pPr>
        <w:spacing w:line="360" w:after="100"/>
        <w:jc w:val="both"/>
      </w:pPr>
      <w:r>
        <w:t xml:space="preserve">Dr. Watts views manufacturing as a strategic asset. By controlling GMP manufacturing, Denali retains flexibility and cost advantages. Partnerships with CMOs allow scale-up without massive capital investment.</w:t>
      </w:r>
    </w:p>
    <w:p>
      <w:pPr>
        <w:spacing w:line="360" w:after="100"/>
        <w:jc w:val="both"/>
      </w:pPr>
      <w:r>
        <w:t xml:space="preserve">Key Success Factor: Denali must ensure manufacturing quality, reliability, and scalability. Any supply disruptions for a rare disease therapeutic could have devastating consequences for patients. Manufacturing excellence is non-negotiable.</w:t>
      </w:r>
    </w:p>
    <w:p>
      <w:pPr>
        <w:pStyle w:val="Heading2"/>
        <w:spacing w:before="200" w:after="100" w:line="360"/>
      </w:pPr>
      <w:r>
        <w:t xml:space="preserve">11. Financial Position &amp; Path to Profitability</w:t>
      </w:r>
    </w:p>
    <w:p>
      <w:pPr>
        <w:spacing w:line="360" w:after="100"/>
        <w:jc w:val="both"/>
      </w:pPr>
      <w:r>
        <w:t xml:space="preserve">Denali's financial position reflects its progress toward clinical validation and anticipated commercial success.</w:t>
      </w:r>
    </w:p>
    <w:p>
      <w:pPr>
        <w:spacing w:line="360" w:after="100"/>
        <w:jc w:val="both"/>
      </w:pPr>
      <w:r>
        <w:t xml:space="preserve">Funding History:
• Series A-E rounds totaling $200+ million from leading VC investors
• Most recent funding round (2021): $100 million Series E
• Biogen partnership (2021) provided additional funding
• Cash reserves adequate for clinical development through commercialization</w:t>
      </w:r>
    </w:p>
    <w:p>
      <w:pPr>
        <w:spacing w:line="360" w:after="100"/>
        <w:jc w:val="both"/>
      </w:pPr>
      <w:r>
        <w:t xml:space="preserve">Cash Burn &amp; Timeline:
• Current annual burn rate: $80-100 million
• Existing cash provides 3+ years of runway
• Tividenofusp alfa approval (April 2026, if successful) would initiate revenue generation
• Peak revenue potential: $400-600 million annually for lead program alone
• Multi-program portfolio provides multiple revenue streams</w:t>
      </w:r>
    </w:p>
    <w:p>
      <w:pPr>
        <w:spacing w:line="360" w:after="100"/>
        <w:jc w:val="both"/>
      </w:pPr>
      <w:r>
        <w:t xml:space="preserve">Path to Profitability:
• First program approval (Hunter syndrome) targets 2026
• Commercial launch and ramp in 2026-2027
• Achieving profitability: anticipated 2028-2030 depending on uptake and program advancement
• Multiple programs reaching commercialization would accelerate path to profitability</w:t>
      </w:r>
    </w:p>
    <w:p>
      <w:pPr>
        <w:spacing w:line="360" w:after="100"/>
        <w:jc w:val="both"/>
      </w:pPr>
      <w:r>
        <w:t xml:space="preserve">Funding Strategy:
• Denali is well-capitalized and does not anticipate near-term financing needs
• IPO discussions may emerge post-approval of lead program
• Strategic partnerships (like Biogen) provide capital and de-risk development
• Potential acquirers: Large pharma companies in neuroscience (Biogen, Eli Lilly, Roche)</w:t>
      </w:r>
    </w:p>
    <w:p>
      <w:pPr>
        <w:spacing w:line="360" w:after="100"/>
        <w:jc w:val="both"/>
      </w:pPr>
      <w:r>
        <w:t xml:space="preserve">Financial Risk Factors:
• Tividenofusp alfa approval not guaranteed (PDUFA April 2026)
• Clinical trial failures in later-stage programs could delay profitability
• Market adoption challenges for rare disease therapies
• Competitive pressures and pricing pressure from payers</w:t>
      </w:r>
    </w:p>
    <w:p>
      <w:pPr>
        <w:spacing w:line="360" w:after="100"/>
        <w:jc w:val="both"/>
      </w:pPr>
      <w:r>
        <w:t xml:space="preserve">Dr. Watts manages financial planning conservatively, stress-testing multiple scenarios. The company has sufficient capital to weather challenges and advance multiple programs simultaneously. However, tividenofusp alfa approval is the critical near-term inflection point.</w:t>
      </w:r>
    </w:p>
    <w:p>
      <w:pPr>
        <w:spacing w:line="360" w:after="100"/>
        <w:jc w:val="both"/>
      </w:pPr>
      <w:r>
        <w:t xml:space="preserve">Investor Communications:
Dr. Watts regularly communicates with investors regarding:
• Regulatory progress and anticipated milestones
• Clinical data and program advancement
• Partnership discussions
• Financial planning and capital efficiency
• Long-term vision for the company</w:t>
      </w:r>
    </w:p>
    <w:p>
      <w:pPr>
        <w:spacing w:line="360" w:after="100"/>
        <w:jc w:val="both"/>
      </w:pPr>
      <w:r>
        <w:t xml:space="preserve">The goal is to position Denali for either independent commercial success or strategic acquisition by a larger partner at a premium valuation.</w:t>
      </w:r>
    </w:p>
    <w:p>
      <w:pPr>
        <w:pStyle w:val="Heading2"/>
        <w:spacing w:before="200" w:after="100" w:line="360"/>
      </w:pPr>
      <w:r>
        <w:t xml:space="preserve">12. Vision &amp; Long-Term Strategic Goals</w:t>
      </w:r>
    </w:p>
    <w:p>
      <w:pPr>
        <w:spacing w:line="360" w:after="100"/>
        <w:jc w:val="both"/>
      </w:pPr>
      <w:r>
        <w:t xml:space="preserve">Dr. Ryan Watts articulates an ambitious, decades-long vision for Denali Therapeutics centered on transforming CNS disease treatment through the TransportVehicle platform.</w:t>
      </w:r>
    </w:p>
    <w:p>
      <w:pPr>
        <w:spacing w:line="360" w:after="100"/>
        <w:jc w:val="both"/>
      </w:pPr>
      <w:r>
        <w:t xml:space="preserve">Short-term Goals (2026-2027):
• Achieve approval of tividenofusp alfa (April 2026 PDUFA date)
• Launch tividenofusp alfa commercially and establish market presence
• Initiate clinical development in Sanfilippo and Pompe diseases
• Advance Biogen partnership programs (LRRK2, amyloid beta) toward IND/Phase 1
• Build commercial infrastructure and patient access programs
• Achieve profitability or clear path to profitability</w:t>
      </w:r>
    </w:p>
    <w:p>
      <w:pPr>
        <w:spacing w:line="360" w:after="100"/>
        <w:jc w:val="both"/>
      </w:pPr>
      <w:r>
        <w:t xml:space="preserve">Medium-term Goals (2027-2030):
• Expand enzyme replacement portfolio with approvals in Sanfilippo and Pompe diseases
• Advance Biogen programs through Phase 2 in Parkinson's and Alzheimer's
• Establish partnerships for additional TV programs (potential future partnerships)
• Build Denali into a mid-stage biopharmaceutical company with multiple marketed products
• Explore international markets and regulatory approvals (EMA, PMDA, etc.)</w:t>
      </w:r>
    </w:p>
    <w:p>
      <w:pPr>
        <w:spacing w:line="360" w:after="100"/>
        <w:jc w:val="both"/>
      </w:pPr>
      <w:r>
        <w:t xml:space="preserve">Long-term Vision (2030+):
• Establish Denali as the leader in BBB-penetrating biologics
• Portfolio of approved TV programs spanning enzyme replacement, antibody, and protein therapies
• Addressable market: dozens of CNS diseases currently considered undruggable
• Potential for 10-15+ marketed products by 2035
• Position for either independent commercial scale or strategic acquisition by major pharma</w:t>
      </w:r>
    </w:p>
    <w:p>
      <w:pPr>
        <w:spacing w:line="360" w:after="100"/>
        <w:jc w:val="both"/>
      </w:pPr>
      <w:r>
        <w:t xml:space="preserve">Platform Evolution:
Dr. Watts envisions continued advancement of the TV platform technology:
• Second-generation TV molecules with improved brain penetration or selectivity
• Combination approaches (TV + conventional drug, TV + gene therapy)
• Tissue-selective variants (e.g., retina-specific, spinal cord-specific delivery)
• Pediatric formulations for inherited CNS diseases
• Intrathecal or brain-targeted delivery variants</w:t>
      </w:r>
    </w:p>
    <w:p>
      <w:pPr>
        <w:spacing w:line="360" w:after="100"/>
        <w:jc w:val="both"/>
      </w:pPr>
      <w:r>
        <w:t xml:space="preserve">Market Impact:
Dr. Watts' long-term vision extends beyond commercial success to genuine patient impact:
• Transforming treatment for lysosomal storage diseases (currently devastating)
• Enabling new antibody and protein therapies for Alzheimer's, Parkinson's, Huntington's
• Potentially creating a new class of CNS-penetrating biologics
• Establishing best-in-class therapies across multiple neurodegenerative indications</w:t>
      </w:r>
    </w:p>
    <w:p>
      <w:pPr>
        <w:spacing w:line="360" w:after="100"/>
        <w:jc w:val="both"/>
      </w:pPr>
      <w:r>
        <w:t xml:space="preserve">Personal Mission:
In reflecting on his vision, Dr. Watts emphasizes: "When I left Genentech to start Denali, I had a simple belief: that if we could engineer biologics to cross the blood-brain barrier, we could transform treatment for diseases that have devastated millions of patients. Twelve years later, we're on the verge of proving that thesis. Tividenofusp alfa, if approved, will be the first of many TV-enabled therapeutics that will reach the brain and change patients' lives. That's what Denali is about—unlocking the brain as a therapeutic domain."</w:t>
      </w:r>
    </w:p>
    <w:p>
      <w:pPr>
        <w:spacing w:line="360" w:after="100"/>
        <w:jc w:val="both"/>
      </w:pPr>
      <w:r>
        <w:t xml:space="preserve">Dr. Watts' leadership combines scientific ambition with execution rigor. He maintains a 10-year planning horizon while executing flawlessly on near-term milestones. This balance—visionary thinking grounded in operational excellence—defines his leadership and positions Denali for transformational impact.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2026-02-18T13:17:04.127Z</dcterms:created>
  <dcterms:modified xsi:type="dcterms:W3CDTF">2026-02-18T13:17:04.127Z</dcterms:modified>
</cp:coreProperties>
</file>

<file path=docProps/custom.xml><?xml version="1.0" encoding="utf-8"?>
<Properties xmlns="http://schemas.openxmlformats.org/officeDocument/2006/custom-properties" xmlns:vt="http://schemas.openxmlformats.org/officeDocument/2006/docPropsVTypes"/>
</file>