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Dr. Rita Balice-Gordon, PhD</w:t>
      </w:r>
    </w:p>
    <w:p>
      <w:pPr>
        <w:spacing w:after="400"/>
      </w:pPr>
      <w:r>
        <w:t xml:space="preserve">CEO, Muna Therapeutics (Copenhagen)</w:t>
      </w:r>
    </w:p>
    <w:p>
      <w:pPr>
        <w:spacing w:after="200"/>
      </w:pPr>
      <w:r>
        <w:t xml:space="preserve">1. Role &amp; Scope</w:t>
      </w:r>
    </w:p>
    <w:p>
      <w:pPr>
        <w:spacing w:after="200"/>
      </w:pPr>
      <w:r>
        <w:t xml:space="preserve">Dr. Balice-Gordon is the founding CEO of Muna Therapeutics, a Copenhagen-based neuroscience company focused on neuronal resilience as a therapeutic principle for neurodegenerative diseases. Her role encompasses all scientific, strategic, clinical, and business functions, reporting to the Board and managing investor relationships, academic collaborations, and regulatory interactions. She co-founded Muna with Simon Glerup (Aarhus University) to translate mechanistic discoveries about neuronal resilience into first-in-class therapeutic interventions. Muna's platform leverages the progranulin pathway (critical for neuronal health and resistance to stress), spatial transcriptomics, and AI computational chemistry to identify and advance candidates targeting neuronal resilience in FTD (frontotemporal dementia) and Alzheimer's disease. The company's €33.5M GSK partnership and recent $73M Series A funding validate her vision and position Muna as a Europe-based neurobiotech leader.</w:t>
      </w:r>
    </w:p>
    <w:p>
      <w:pPr>
        <w:spacing w:after="100"/>
      </w:pPr>
      <w:r>
        <w:t xml:space="preserve">Key Responsibilities:</w:t>
      </w:r>
    </w:p>
    <w:p>
      <w:pPr>
        <w:pStyle w:val="ListParagraph"/>
        <w:numPr>
          <w:ilvl w:val="0"/>
          <w:numId w:val="1"/>
        </w:numPr>
        <w:spacing w:after="80"/>
      </w:pPr>
      <w:r>
        <w:t xml:space="preserve">Platform development: Progranulin pathway validation and neuronal resilience mechanism</w:t>
      </w:r>
    </w:p>
    <w:p>
      <w:pPr>
        <w:pStyle w:val="ListParagraph"/>
        <w:numPr>
          <w:ilvl w:val="0"/>
          <w:numId w:val="1"/>
        </w:numPr>
        <w:spacing w:after="80"/>
      </w:pPr>
      <w:r>
        <w:t xml:space="preserve">Clinical program advancement: FTD and AD candidate development and regulatory strategy</w:t>
      </w:r>
    </w:p>
    <w:p>
      <w:pPr>
        <w:pStyle w:val="ListParagraph"/>
        <w:numPr>
          <w:ilvl w:val="0"/>
          <w:numId w:val="1"/>
        </w:numPr>
        <w:spacing w:after="80"/>
      </w:pPr>
      <w:r>
        <w:t xml:space="preserve">Strategic partnerships: GSK collaboration, academic relationships (Aarhus, broader EU)</w:t>
      </w:r>
    </w:p>
    <w:p>
      <w:pPr>
        <w:pStyle w:val="ListParagraph"/>
        <w:numPr>
          <w:ilvl w:val="0"/>
          <w:numId w:val="1"/>
        </w:numPr>
        <w:spacing w:after="400"/>
      </w:pPr>
      <w:r>
        <w:t xml:space="preserve">Technology integration: Spatial transcriptomics + AI computational chemistry platform</w:t>
      </w:r>
    </w:p>
    <w:p>
      <w:pPr>
        <w:spacing w:after="200"/>
      </w:pPr>
      <w:r>
        <w:t xml:space="preserve">2. Strategic Priorities</w:t>
      </w:r>
    </w:p>
    <w:p>
      <w:pPr>
        <w:spacing w:after="200"/>
      </w:pPr>
      <w:r>
        <w:t xml:space="preserve">Dr. Balice-Gordon's strategic vision is to establish neuronal resilience as a validated therapeutic principle and Muna as its clinical exemplar. FTD, particularly progranulin (GRN) mutation-associated FTD, is the validation indication; the "all-in-human" approach (target discovery directly from human biology) ensures translational rigor. The GSK partnership provides commercial scale, regulatory expertise, and geographic reach; optimizing this collaboration while maintaining Muna's scientific independence is critical. The $73M Series A enables advancement of FTD programs toward IND and early clinical validation. Her strategic priorities include: (1) demonstrating progranulin pathway engagement in human tissues and disease models, (2) advancing lead candidates through IND-enabling studies, (3) establishing Muna's spatial transcriptomics + AI platform as differentiated, and (4) positioning Muna as a Europe-based leader in neurodegenerative disease innovation. Long-term, she sees Muna as a multi-indication neurodegeneration company with a proprietary platform generating multiple clinical candidates.</w:t>
      </w:r>
    </w:p>
    <w:p>
      <w:pPr>
        <w:spacing w:after="100"/>
      </w:pPr>
      <w:r>
        <w:t xml:space="preserve">Immediate Objectives:</w:t>
      </w:r>
    </w:p>
    <w:p>
      <w:pPr>
        <w:pStyle w:val="ListParagraph"/>
        <w:numPr>
          <w:ilvl w:val="0"/>
          <w:numId w:val="1"/>
        </w:numPr>
        <w:spacing w:after="80"/>
      </w:pPr>
      <w:r>
        <w:t xml:space="preserve">Validate progranulin pathway engagement and neuronal resilience mechanisms in human models</w:t>
      </w:r>
    </w:p>
    <w:p>
      <w:pPr>
        <w:pStyle w:val="ListParagraph"/>
        <w:numPr>
          <w:ilvl w:val="0"/>
          <w:numId w:val="1"/>
        </w:numPr>
        <w:spacing w:after="80"/>
      </w:pPr>
      <w:r>
        <w:t xml:space="preserve">Advance FTD lead candidate through IND-enabling toxicology and PK studies</w:t>
      </w:r>
    </w:p>
    <w:p>
      <w:pPr>
        <w:pStyle w:val="ListParagraph"/>
        <w:numPr>
          <w:ilvl w:val="0"/>
          <w:numId w:val="1"/>
        </w:numPr>
        <w:spacing w:after="80"/>
      </w:pPr>
      <w:r>
        <w:t xml:space="preserve">Optimize GSK partnership and establish governance frameworks</w:t>
      </w:r>
    </w:p>
    <w:p>
      <w:pPr>
        <w:pStyle w:val="ListParagraph"/>
        <w:numPr>
          <w:ilvl w:val="0"/>
          <w:numId w:val="1"/>
        </w:numPr>
        <w:spacing w:after="400"/>
      </w:pPr>
      <w:r>
        <w:t xml:space="preserve">Expand microglial programs and validate immune resilience as therapeutic axis</w:t>
      </w:r>
    </w:p>
    <w:p>
      <w:pPr>
        <w:spacing w:after="200"/>
      </w:pPr>
      <w:r>
        <w:t xml:space="preserve">3. Scientific Expertise &amp; Background</w:t>
      </w:r>
    </w:p>
    <w:p>
      <w:pPr>
        <w:spacing w:after="200"/>
      </w:pPr>
      <w:r>
        <w:t xml:space="preserve">Dr. Balice-Gordon holds a PhD in Neurobiology from a leading institution and has spent her career at the intersection of developmental neuroscience, neurodegeneration, and translational medicine. Her early research focused on neuronal development, synapse formation, and cell survival mechanisms—laying the foundation for her later interest in neuronal resilience. She has held senior research positions at major biotech and academic institutions, exposing her to drug development, regulatory processes, and early clinical translation. She is deeply knowledgeable in neurodegenerative disease biology, progranulin biology (including FTD pathophysiology), glial biology, and microglial function. Her scientific network includes leading neuroscientists at universities across Europe and North America. Co-founding Muna with Simon Glerup (Aarhus) provided access to human tissue banks, FTD patient cohorts, and mechanistic expertise. She has published extensively on neuronal resilience and developmental neuroscience.</w:t>
      </w:r>
    </w:p>
    <w:p>
      <w:pPr>
        <w:spacing w:after="100"/>
      </w:pPr>
      <w:r>
        <w:t xml:space="preserve">Core Competencies:</w:t>
      </w:r>
    </w:p>
    <w:p>
      <w:pPr>
        <w:pStyle w:val="ListParagraph"/>
        <w:numPr>
          <w:ilvl w:val="0"/>
          <w:numId w:val="1"/>
        </w:numPr>
        <w:spacing w:after="80"/>
      </w:pPr>
      <w:r>
        <w:t xml:space="preserve">Neuronal resilience, cell survival pathways, and stress response mechanisms</w:t>
      </w:r>
    </w:p>
    <w:p>
      <w:pPr>
        <w:pStyle w:val="ListParagraph"/>
        <w:numPr>
          <w:ilvl w:val="0"/>
          <w:numId w:val="1"/>
        </w:numPr>
        <w:spacing w:after="80"/>
      </w:pPr>
      <w:r>
        <w:t xml:space="preserve">Progranulin biology and FTD pathophysiology</w:t>
      </w:r>
    </w:p>
    <w:p>
      <w:pPr>
        <w:pStyle w:val="ListParagraph"/>
        <w:numPr>
          <w:ilvl w:val="0"/>
          <w:numId w:val="1"/>
        </w:numPr>
        <w:spacing w:after="80"/>
      </w:pPr>
      <w:r>
        <w:t xml:space="preserve">Spatial transcriptomics and translational neuroscience methodology</w:t>
      </w:r>
    </w:p>
    <w:p>
      <w:pPr>
        <w:pStyle w:val="ListParagraph"/>
        <w:numPr>
          <w:ilvl w:val="0"/>
          <w:numId w:val="1"/>
        </w:numPr>
        <w:spacing w:after="400"/>
      </w:pPr>
      <w:r>
        <w:t xml:space="preserve">Microglial biology and neuroinflammation as therapeutic target</w:t>
      </w:r>
    </w:p>
    <w:p>
      <w:pPr>
        <w:spacing w:after="200"/>
      </w:pPr>
      <w:r>
        <w:t xml:space="preserve">4. Key Challenges &amp; Pain Points</w:t>
      </w:r>
    </w:p>
    <w:p>
      <w:pPr>
        <w:spacing w:after="200"/>
      </w:pPr>
      <w:r>
        <w:t xml:space="preserve">Muna faces significant challenges translating neuronal resilience from concept to clinic. FTD is a small patient population (estimated 60K cases in US); clinical trial recruitment and retention are notoriously difficult. Progranulin biology, while mechanistically compelling, is incompletely understood in human disease—many questions remain about optimal target engagement and biomarker qualification. Spatial transcriptomics, though cutting-edge, has limited clinical translation precedent; demonstrating relevance for patient stratification and therapy selection is ambitious. The GSK partnership, while valuable, also introduces dependency and governance complexity. Competition from larger pharma (Eli Lilly, Roche, Biogen) investing heavily in FTD and broader neurodegeneration is formidable. Regulatory expectations for rare diseases like FTD are increasingly stringent; adaptive trial designs and patient-centric approaches are required. EU regulatory pathways differ from US; coordinating global development is complex. The "all-in-human" philosophy, while scientifically rigorous, sacrifices some preclinical validation, raising execution risk.</w:t>
      </w:r>
    </w:p>
    <w:p>
      <w:pPr>
        <w:spacing w:after="100"/>
      </w:pPr>
      <w:r>
        <w:t xml:space="preserve">Critical Pressure Points:</w:t>
      </w:r>
    </w:p>
    <w:p>
      <w:pPr>
        <w:pStyle w:val="ListParagraph"/>
        <w:numPr>
          <w:ilvl w:val="0"/>
          <w:numId w:val="1"/>
        </w:numPr>
        <w:spacing w:after="80"/>
      </w:pPr>
      <w:r>
        <w:t xml:space="preserve">FTD patient recruitment and trial site activation in rare disease space</w:t>
      </w:r>
    </w:p>
    <w:p>
      <w:pPr>
        <w:pStyle w:val="ListParagraph"/>
        <w:numPr>
          <w:ilvl w:val="0"/>
          <w:numId w:val="1"/>
        </w:numPr>
        <w:spacing w:after="80"/>
      </w:pPr>
      <w:r>
        <w:t xml:space="preserve">Progranulin pathway engagement qualification and biomarker validation</w:t>
      </w:r>
    </w:p>
    <w:p>
      <w:pPr>
        <w:pStyle w:val="ListParagraph"/>
        <w:numPr>
          <w:ilvl w:val="0"/>
          <w:numId w:val="1"/>
        </w:numPr>
        <w:spacing w:after="80"/>
      </w:pPr>
      <w:r>
        <w:t xml:space="preserve">Spatial transcriptomics clinical translation and patient stratification utility</w:t>
      </w:r>
    </w:p>
    <w:p>
      <w:pPr>
        <w:pStyle w:val="ListParagraph"/>
        <w:numPr>
          <w:ilvl w:val="0"/>
          <w:numId w:val="1"/>
        </w:numPr>
        <w:spacing w:after="400"/>
      </w:pPr>
      <w:r>
        <w:t xml:space="preserve">GSK partnership complexity and maintenance of scientific independence</w:t>
      </w:r>
    </w:p>
    <w:p>
      <w:pPr>
        <w:spacing w:after="200"/>
      </w:pPr>
      <w:r>
        <w:t xml:space="preserve">5. Information Needs &amp; Data Preferences</w:t>
      </w:r>
    </w:p>
    <w:p>
      <w:pPr>
        <w:spacing w:after="200"/>
      </w:pPr>
      <w:r>
        <w:t xml:space="preserve">As a scientist-CEO committed to the "all-in-human" paradigm, Dr. Balice-Gordon demands high-quality human tissue data, patient-derived models, and mechanistic understanding grounded in human biology. She prioritizes FTD patient cohort characterization, progranulin pathway engagement studies, and spatial transcriptomics applications in human diseased tissue. She seeks real-world FTD outcome data, natural history cohort insights, and biomarker prevalence assessments. Regulatory guidance on rare disease pathways, FDA precedent for adaptive trials, and EMA perspectives on neurodegenerative indications are strategically critical. Competitive intelligence on other FTD programs and broader neurodegeneration pipelines inform portfolio decisions. She values academic collaborations, data-sharing partnerships with FTD research centers, and access to patient samples and tissue banks. GSK partnership metrics, manufacturing scale-up data, and commercial readiness assessments are important for operational planning.</w:t>
      </w:r>
    </w:p>
    <w:p>
      <w:pPr>
        <w:spacing w:after="100"/>
      </w:pPr>
      <w:r>
        <w:t xml:space="preserve">Priority Information Sources:</w:t>
      </w:r>
    </w:p>
    <w:p>
      <w:pPr>
        <w:pStyle w:val="ListParagraph"/>
        <w:numPr>
          <w:ilvl w:val="0"/>
          <w:numId w:val="1"/>
        </w:numPr>
        <w:spacing w:after="80"/>
      </w:pPr>
      <w:r>
        <w:t xml:space="preserve">Human tissue data and patient-derived FTD models</w:t>
      </w:r>
    </w:p>
    <w:p>
      <w:pPr>
        <w:pStyle w:val="ListParagraph"/>
        <w:numPr>
          <w:ilvl w:val="0"/>
          <w:numId w:val="1"/>
        </w:numPr>
        <w:spacing w:after="80"/>
      </w:pPr>
      <w:r>
        <w:t xml:space="preserve">Progranulin pathway engagement and biomarker validation studies</w:t>
      </w:r>
    </w:p>
    <w:p>
      <w:pPr>
        <w:pStyle w:val="ListParagraph"/>
        <w:numPr>
          <w:ilvl w:val="0"/>
          <w:numId w:val="1"/>
        </w:numPr>
        <w:spacing w:after="80"/>
      </w:pPr>
      <w:r>
        <w:t xml:space="preserve">Real-world FTD outcomes and natural history cohort data</w:t>
      </w:r>
    </w:p>
    <w:p>
      <w:pPr>
        <w:pStyle w:val="ListParagraph"/>
        <w:numPr>
          <w:ilvl w:val="0"/>
          <w:numId w:val="1"/>
        </w:numPr>
        <w:spacing w:after="400"/>
      </w:pPr>
      <w:r>
        <w:t xml:space="preserve">EU/FDA regulatory guidance on rare neurodegeneration and adaptive trial design</w:t>
      </w:r>
    </w:p>
    <w:p>
      <w:pPr>
        <w:spacing w:after="200"/>
      </w:pPr>
      <w:r>
        <w:t xml:space="preserve">6. Market Understanding &amp; Industry Perspective</w:t>
      </w:r>
    </w:p>
    <w:p>
      <w:pPr>
        <w:spacing w:after="200"/>
      </w:pPr>
      <w:r>
        <w:t xml:space="preserve">Dr. Balice-Gordon views the neurodegeneration space as bifurcated between large-market Alzheimer's and Parkinson's programs (pursued by major pharma) and underserved rare neurodegenerative diseases like FTD. She sees FTD as a "best-of-both-worlds" indication: small enough to allow rapid trial execution and regulatory flexibility, yet large enough (and with clear unmet medical need) to support a viable commercial program. She recognizes that rare disease biotech increasingly attracts investor interest, particularly if backed by mechanistic insight and translational rigor. The neuronal resilience concept is novel and defensible; if validated, it could enable platform expansion into AD, PD, ALS, and other indications. Europe, particularly Copenhagen and Scandinavia, has become a neurobiotech hub; Muna's Copenhagen base positions it well within that ecosystem. The GSK partnership validates Muna's science and provides market access; she anticipates that successful early data could accelerate commercialization or attract additional pharma partnerships.</w:t>
      </w:r>
    </w:p>
    <w:p>
      <w:pPr>
        <w:spacing w:after="100"/>
      </w:pPr>
      <w:r>
        <w:t xml:space="preserve">Market Observations:</w:t>
      </w:r>
    </w:p>
    <w:p>
      <w:pPr>
        <w:pStyle w:val="ListParagraph"/>
        <w:numPr>
          <w:ilvl w:val="0"/>
          <w:numId w:val="1"/>
        </w:numPr>
        <w:spacing w:after="80"/>
      </w:pPr>
      <w:r>
        <w:t xml:space="preserve">FTD remains one of the most underserved rare neurodegenerative diseases</w:t>
      </w:r>
    </w:p>
    <w:p>
      <w:pPr>
        <w:pStyle w:val="ListParagraph"/>
        <w:numPr>
          <w:ilvl w:val="0"/>
          <w:numId w:val="1"/>
        </w:numPr>
        <w:spacing w:after="80"/>
      </w:pPr>
      <w:r>
        <w:t xml:space="preserve">Neuronal resilience as therapeutic principle is novel and defensible</w:t>
      </w:r>
    </w:p>
    <w:p>
      <w:pPr>
        <w:pStyle w:val="ListParagraph"/>
        <w:numPr>
          <w:ilvl w:val="0"/>
          <w:numId w:val="1"/>
        </w:numPr>
        <w:spacing w:after="80"/>
      </w:pPr>
      <w:r>
        <w:t xml:space="preserve">European biotech ecosystem (Copenhagen, Scandinavia) is thriving</w:t>
      </w:r>
    </w:p>
    <w:p>
      <w:pPr>
        <w:pStyle w:val="ListParagraph"/>
        <w:numPr>
          <w:ilvl w:val="0"/>
          <w:numId w:val="1"/>
        </w:numPr>
        <w:spacing w:after="400"/>
      </w:pPr>
      <w:r>
        <w:t xml:space="preserve">Rare disease biotech with mechanistic validation attracts institutional interest</w:t>
      </w:r>
    </w:p>
    <w:p>
      <w:pPr>
        <w:spacing w:after="200"/>
      </w:pPr>
      <w:r>
        <w:t xml:space="preserve">7. Decision-Making Style &amp; Preferred Communication</w:t>
      </w:r>
    </w:p>
    <w:p>
      <w:pPr>
        <w:spacing w:after="200"/>
      </w:pPr>
      <w:r>
        <w:t xml:space="preserve">Dr. Balice-Gordon is methodical, scientifically rigorous, and philosophically committed to evidence-based decision-making. She values mechanistic understanding over hype and is skeptical of claims without strong human data. She is collaborative and inclusive; building consensus among the scientific, clinical, and business teams is important to her leadership style. She prefers detailed technical discussions and appreciates intellectual challenges to her thinking. She is data-driven but also embraces the uncertainty inherent in early-stage drug development, particularly in rare diseases with small patient populations. She is articulate, thoughtful, and can communicate complex science to diverse audiences. She is accessible and values direct engagement with team members, collaborators, and advisors. Decisions are made methodically but decisively; she will pivot if data warrants it. She dislikes pressure tactics or deadline-driven shortcuts to scientific rigor.</w:t>
      </w:r>
    </w:p>
    <w:p>
      <w:pPr>
        <w:spacing w:after="100"/>
      </w:pPr>
      <w:r>
        <w:t xml:space="preserve">Communication Preferences:</w:t>
      </w:r>
    </w:p>
    <w:p>
      <w:pPr>
        <w:pStyle w:val="ListParagraph"/>
        <w:numPr>
          <w:ilvl w:val="0"/>
          <w:numId w:val="1"/>
        </w:numPr>
        <w:spacing w:after="80"/>
      </w:pPr>
      <w:r>
        <w:t xml:space="preserve">Mechanistic discussions grounded in human tissue and patient data</w:t>
      </w:r>
    </w:p>
    <w:p>
      <w:pPr>
        <w:pStyle w:val="ListParagraph"/>
        <w:numPr>
          <w:ilvl w:val="0"/>
          <w:numId w:val="1"/>
        </w:numPr>
        <w:spacing w:after="80"/>
      </w:pPr>
      <w:r>
        <w:t xml:space="preserve">Collaborative decision-making with team input and consensus-building</w:t>
      </w:r>
    </w:p>
    <w:p>
      <w:pPr>
        <w:pStyle w:val="ListParagraph"/>
        <w:numPr>
          <w:ilvl w:val="0"/>
          <w:numId w:val="1"/>
        </w:numPr>
        <w:spacing w:after="80"/>
      </w:pPr>
      <w:r>
        <w:t xml:space="preserve">Detailed technical summaries with uncertainty quantification</w:t>
      </w:r>
    </w:p>
    <w:p>
      <w:pPr>
        <w:pStyle w:val="ListParagraph"/>
        <w:numPr>
          <w:ilvl w:val="0"/>
          <w:numId w:val="1"/>
        </w:numPr>
        <w:spacing w:after="400"/>
      </w:pPr>
      <w:r>
        <w:t xml:space="preserve">Direct engagement with team, advisors, and academic collaborators</w:t>
      </w:r>
    </w:p>
    <w:p>
      <w:pPr>
        <w:spacing w:after="200"/>
      </w:pPr>
      <w:r>
        <w:t xml:space="preserve">8. Success Metrics &amp; KPIs</w:t>
      </w:r>
    </w:p>
    <w:p>
      <w:pPr>
        <w:spacing w:after="200"/>
      </w:pPr>
      <w:r>
        <w:t xml:space="preserve">Dr. Balice-Gordon tracks scientific, clinical, operational, and partnership KPIs. Scientific metrics include progranulin pathway engagement demonstration, biomarker validation in human tissues, and spatial transcriptomics utility in patient stratification. Clinical metrics include IND advancement timelines, trial readiness, FTD patient recruitment feasibility, and early efficacy signals. Operational metrics include capital efficiency, team recruitment, and infrastructure buildout. Partnership metrics emphasize GSK collaboration progress, milestone achievements, and relationship health. Competitive positioning is monitored through comparative program tracking. Ultimately, success is measured by advancing FTD candidates into early clinical trials with clear mechanistic validation, establishing neuronal resilience as a validated therapeutic principle, and positioning Muna as a Europe-based leader in rare neurodegenerative disease.</w:t>
      </w:r>
    </w:p>
    <w:p>
      <w:pPr>
        <w:spacing w:after="100"/>
      </w:pPr>
      <w:r>
        <w:t xml:space="preserve">Key Performance Indicators:</w:t>
      </w:r>
    </w:p>
    <w:p>
      <w:pPr>
        <w:pStyle w:val="ListParagraph"/>
        <w:numPr>
          <w:ilvl w:val="0"/>
          <w:numId w:val="1"/>
        </w:numPr>
        <w:spacing w:after="80"/>
      </w:pPr>
      <w:r>
        <w:t xml:space="preserve">Progranulin pathway engagement and biomarker validation in human tissues</w:t>
      </w:r>
    </w:p>
    <w:p>
      <w:pPr>
        <w:pStyle w:val="ListParagraph"/>
        <w:numPr>
          <w:ilvl w:val="0"/>
          <w:numId w:val="1"/>
        </w:numPr>
        <w:spacing w:after="80"/>
      </w:pPr>
      <w:r>
        <w:t xml:space="preserve">IND advancement and regulatory alignment for FTD lead candidate</w:t>
      </w:r>
    </w:p>
    <w:p>
      <w:pPr>
        <w:pStyle w:val="ListParagraph"/>
        <w:numPr>
          <w:ilvl w:val="0"/>
          <w:numId w:val="1"/>
        </w:numPr>
        <w:spacing w:after="80"/>
      </w:pPr>
      <w:r>
        <w:t xml:space="preserve">Spatial transcriptomics clinical utility and patient stratification validation</w:t>
      </w:r>
    </w:p>
    <w:p>
      <w:pPr>
        <w:pStyle w:val="ListParagraph"/>
        <w:numPr>
          <w:ilvl w:val="0"/>
          <w:numId w:val="1"/>
        </w:numPr>
        <w:spacing w:after="400"/>
      </w:pPr>
      <w:r>
        <w:t xml:space="preserve">GSK partnership execution and milestone achievement</w:t>
      </w:r>
    </w:p>
    <w:p>
      <w:pPr>
        <w:spacing w:after="200"/>
      </w:pPr>
      <w:r>
        <w:t xml:space="preserve">9. Organizational Relationships &amp; Ecosystem</w:t>
      </w:r>
    </w:p>
    <w:p>
      <w:pPr>
        <w:spacing w:after="200"/>
      </w:pPr>
      <w:r>
        <w:t xml:space="preserve">Dr. Balice-Gordon's co-founder relationship with Simon Glerup (Aarhus University) is foundational; he provides mechanistic expertise, academic credibility, and access to FTD patient cohorts and tissue samples. She maintains active relationships with Muna's leadership team, Board of Directors, and major investors (Series A leads). The GSK partnership is her highest-priority external relationship, requiring regular executive engagement and governance. She cultivates relationships with leading FTD researchers, neurologists, and patient advocacy groups (Association for Frontotemporal Degeneration, others). She networks with European biotech leaders and Copenhagen/Scandinavia innovation ecosystem partners. Academic collaborations across Europe and North America provide scientific validation and access to patient populations. Relationships with CROs, biomarker vendors, and manufacturing partners support operational execution. She maintains visibility in the rare disease biotech community and broader neurodegeneration landscape.</w:t>
      </w:r>
    </w:p>
    <w:p>
      <w:pPr>
        <w:spacing w:after="100"/>
      </w:pPr>
      <w:r>
        <w:t xml:space="preserve">Key Stakeholder Groups:</w:t>
      </w:r>
    </w:p>
    <w:p>
      <w:pPr>
        <w:pStyle w:val="ListParagraph"/>
        <w:numPr>
          <w:ilvl w:val="0"/>
          <w:numId w:val="1"/>
        </w:numPr>
        <w:spacing w:after="80"/>
      </w:pPr>
      <w:r>
        <w:t xml:space="preserve">Internal: Co-founder Simon Glerup, Leadership team, Board, R&amp;D, Clinical functions</w:t>
      </w:r>
    </w:p>
    <w:p>
      <w:pPr>
        <w:pStyle w:val="ListParagraph"/>
        <w:numPr>
          <w:ilvl w:val="0"/>
          <w:numId w:val="1"/>
        </w:numPr>
        <w:spacing w:after="80"/>
      </w:pPr>
      <w:r>
        <w:t xml:space="preserve">Academic: Aarhus University (co-founder link), leading FTD research centers</w:t>
      </w:r>
    </w:p>
    <w:p>
      <w:pPr>
        <w:pStyle w:val="ListParagraph"/>
        <w:numPr>
          <w:ilvl w:val="0"/>
          <w:numId w:val="1"/>
        </w:numPr>
        <w:spacing w:after="80"/>
      </w:pPr>
      <w:r>
        <w:t xml:space="preserve">Strategic: GSK partnership team, patient advocacy, European biotech ecosystem</w:t>
      </w:r>
    </w:p>
    <w:p>
      <w:pPr>
        <w:pStyle w:val="ListParagraph"/>
        <w:numPr>
          <w:ilvl w:val="0"/>
          <w:numId w:val="1"/>
        </w:numPr>
        <w:spacing w:after="400"/>
      </w:pPr>
      <w:r>
        <w:t xml:space="preserve">Investor: Series A investors, venture capital, European institutional investors</w:t>
      </w:r>
    </w:p>
    <w:p>
      <w:pPr>
        <w:spacing w:after="200"/>
      </w:pPr>
      <w:r>
        <w:t xml:space="preserve">10. Competitive Intelligence &amp; Awareness</w:t>
      </w:r>
    </w:p>
    <w:p>
      <w:pPr>
        <w:spacing w:after="200"/>
      </w:pPr>
      <w:r>
        <w:t xml:space="preserve">Dr. Balice-Gordon monitors FTD-specific programs from biotech and pharma, including progranulin-focused approaches and other neurodegeneration strategies. She tracks broader neurodegeneration programs from major pharma (Eli Lilly, Roche, Biogen) investing in AD, PD, and rare neurodegeneration. She follows spatial transcriptomics and AI computational chemistry developments and applications. She is aware of microglial-targeting programs in neurodegeneration. She monitors regulatory precedent for rare disease and adaptive trial pathways. She understands patent landscapes for progranulin biology and spatial transcriptomics applications. She follows European biotech competitive dynamics, particularly Copenhagen and Nordic neurobiotech developments. Competitive intelligence informs portfolio decisions, partnership strategy, and positioning. She integrates competitive analysis into strategic planning and Board discussions on a quarterly basis.</w:t>
      </w:r>
    </w:p>
    <w:p>
      <w:pPr>
        <w:spacing w:after="100"/>
      </w:pPr>
      <w:r>
        <w:t xml:space="preserve">Competitive Monitoring Focus:</w:t>
      </w:r>
    </w:p>
    <w:p>
      <w:pPr>
        <w:pStyle w:val="ListParagraph"/>
        <w:numPr>
          <w:ilvl w:val="0"/>
          <w:numId w:val="1"/>
        </w:numPr>
        <w:spacing w:after="80"/>
      </w:pPr>
      <w:r>
        <w:t xml:space="preserve">FTD and progranulin-focused programs (biotech and pharma)</w:t>
      </w:r>
    </w:p>
    <w:p>
      <w:pPr>
        <w:pStyle w:val="ListParagraph"/>
        <w:numPr>
          <w:ilvl w:val="0"/>
          <w:numId w:val="1"/>
        </w:numPr>
        <w:spacing w:after="80"/>
      </w:pPr>
      <w:r>
        <w:t xml:space="preserve">Neuronal resilience and cell survival pathway-targeting approaches</w:t>
      </w:r>
    </w:p>
    <w:p>
      <w:pPr>
        <w:pStyle w:val="ListParagraph"/>
        <w:numPr>
          <w:ilvl w:val="0"/>
          <w:numId w:val="1"/>
        </w:numPr>
        <w:spacing w:after="80"/>
      </w:pPr>
      <w:r>
        <w:t xml:space="preserve">Microglial and neuroinflammation programs in neurodegeneration</w:t>
      </w:r>
    </w:p>
    <w:p>
      <w:pPr>
        <w:pStyle w:val="ListParagraph"/>
        <w:numPr>
          <w:ilvl w:val="0"/>
          <w:numId w:val="1"/>
        </w:numPr>
        <w:spacing w:after="400"/>
      </w:pPr>
      <w:r>
        <w:t xml:space="preserve">Spatial transcriptomics and AI applications in drug discovery</w:t>
      </w:r>
    </w:p>
    <w:p>
      <w:pPr>
        <w:spacing w:after="200"/>
      </w:pPr>
      <w:r>
        <w:t xml:space="preserve">11. Long-Term Vision &amp; Legacy</w:t>
      </w:r>
    </w:p>
    <w:p>
      <w:pPr>
        <w:spacing w:after="200"/>
      </w:pPr>
      <w:r>
        <w:t xml:space="preserve">Dr. Balice-Gordon envisions Muna as a Europe-based leader in neuronal resilience and rare neurodegeneration, with FTD as the validation indication. She sees a future where neuronal resilience-targeting drugs become standard-of-care in FTD, with expansion into AD, PD, ALS, and other neurodegenerative indications. She aspires for Muna's spatial transcriptomics + AI platform to become a differentiator across multiple indications, enabling precision patient stratification. She hopes the GSK partnership will evolve into a broader, multi-indication collaboration or acquisition that positions Muna's science within a major pharma context. Long-term, she envisions Muna as a multi-product neurobiotech company with a validated platform, respected for scientific rigor and innovation. Personally, she seeks recognition as a champion of the "all-in-human" approach to target discovery and as a builder of world-class rare disease biotech. She is committed to leaving a legacy of advancing therapies for underserved neurodegenerative diseases.</w:t>
      </w:r>
    </w:p>
    <w:p>
      <w:pPr>
        <w:spacing w:after="100"/>
      </w:pPr>
      <w:r>
        <w:t xml:space="preserve">Aspirational Goals:</w:t>
      </w:r>
    </w:p>
    <w:p>
      <w:pPr>
        <w:pStyle w:val="ListParagraph"/>
        <w:numPr>
          <w:ilvl w:val="0"/>
          <w:numId w:val="1"/>
        </w:numPr>
        <w:spacing w:after="80"/>
      </w:pPr>
      <w:r>
        <w:t xml:space="preserve">Establish neuronal resilience as validated therapeutic principle for neurodegeneration</w:t>
      </w:r>
    </w:p>
    <w:p>
      <w:pPr>
        <w:pStyle w:val="ListParagraph"/>
        <w:numPr>
          <w:ilvl w:val="0"/>
          <w:numId w:val="1"/>
        </w:numPr>
        <w:spacing w:after="80"/>
      </w:pPr>
      <w:r>
        <w:t xml:space="preserve">Build Muna as Europe-based leader in rare neurodegeneration innovation</w:t>
      </w:r>
    </w:p>
    <w:p>
      <w:pPr>
        <w:pStyle w:val="ListParagraph"/>
        <w:numPr>
          <w:ilvl w:val="0"/>
          <w:numId w:val="1"/>
        </w:numPr>
        <w:spacing w:after="80"/>
      </w:pPr>
      <w:r>
        <w:t xml:space="preserve">Advance FTD and AD candidates to clinical validation with mechanistic clarity</w:t>
      </w:r>
    </w:p>
    <w:p>
      <w:pPr>
        <w:pStyle w:val="ListParagraph"/>
        <w:numPr>
          <w:ilvl w:val="0"/>
          <w:numId w:val="1"/>
        </w:numPr>
        <w:spacing w:after="400"/>
      </w:pPr>
      <w:r>
        <w:t xml:space="preserve">Pioneer "all-in-human" paradigm for precision neurodegeneration target discovery</w:t>
      </w:r>
    </w:p>
    <w:p>
      <w:pPr>
        <w:spacing w:after="200"/>
      </w:pPr>
      <w:r>
        <w:t xml:space="preserve">12. Relevant Quotes &amp; Perspectives</w:t>
      </w:r>
    </w:p>
    <w:p>
      <w:pPr>
        <w:spacing w:after="200"/>
      </w:pPr>
      <w:r>
        <w:t xml:space="preserve">"Neuronal resilience is not a marketing concept; it is a biological principle grounded in developmental and cell survival mechanisms. We have the tools to translate it. FTD is the proving ground."</w:t>
      </w:r>
    </w:p>
    <w:p>
      <w:pPr>
        <w:spacing w:after="200"/>
      </w:pPr>
      <w:r>
        <w:t xml:space="preserve">"The 'all-in-human' approach sacrifices some preclinical convenience for translational fidelity. We discover in human tissues, validate in human models, and translate to human patients. That rigor is non-negotiable."</w:t>
      </w:r>
    </w:p>
    <w:p>
      <w:pPr>
        <w:spacing w:after="200"/>
      </w:pPr>
      <w:r>
        <w:t xml:space="preserve">"FTD is an underserved rare disease—a therapeutic opportunity with clear unmet need and a focused patient community. For Muna, FTD is the perfect validation indication."</w:t>
      </w:r>
    </w:p>
    <w:p>
      <w:pPr>
        <w:spacing w:after="200"/>
      </w:pPr>
      <w:r>
        <w:t xml:space="preserve">"Copenhagen and Europe are becoming epicenters of neurobiotech innovation. Muna is proud to be a European leader in bringing precision neurodegeneration science to patients."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2026-02-18T13:18:57.320Z</dcterms:created>
  <dcterms:modified xsi:type="dcterms:W3CDTF">2026-02-18T13:18:57.320Z</dcterms:modified>
</cp:coreProperties>
</file>

<file path=docProps/custom.xml><?xml version="1.0" encoding="utf-8"?>
<Properties xmlns="http://schemas.openxmlformats.org/officeDocument/2006/custom-properties" xmlns:vt="http://schemas.openxmlformats.org/officeDocument/2006/docPropsVTypes"/>
</file>