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pPr>
      <w:r>
        <w:t xml:space="preserve">Dr. Paul Thompson, PhD</w:t>
      </w:r>
    </w:p>
    <w:p>
      <w:pPr>
        <w:pStyle w:val="Heading2"/>
        <w:spacing w:line="360" w:after="200"/>
      </w:pPr>
      <w:r>
        <w:t xml:space="preserve">Chief Development Officer, NRG Therapeutics</w:t>
      </w:r>
    </w:p>
    <w:p>
      <w:pPr>
        <w:pStyle w:val="Heading2"/>
        <w:spacing w:before="200" w:after="100" w:line="360"/>
      </w:pPr>
      <w:r>
        <w:t xml:space="preserve">1. Executive Summary</w:t>
      </w:r>
    </w:p>
    <w:p>
      <w:pPr>
        <w:spacing w:line="360" w:after="100"/>
        <w:jc w:val="both"/>
      </w:pPr>
      <w:r>
        <w:t xml:space="preserve">Dr. Paul Thompson is the Chief Development Officer of NRG Therapeutics, a UK-based neuroscience biotech company pioneering mitochondrial health therapeutics for neurodegenerative diseases. Based in Stevenage, NRG represents a distinctive approach to addressing Parkinson's disease, amyotrophic lateral sclerosis (ALS), and related neurological conditions by targeting the fundamental cellular energy crisis that underlies neuronal dysfunction.</w:t>
      </w:r>
    </w:p>
    <w:p>
      <w:pPr>
        <w:spacing w:line="360" w:after="100"/>
        <w:jc w:val="both"/>
      </w:pPr>
      <w:r>
        <w:t xml:space="preserve">With a £50 million Series B funding round completed in September 2025, NRG has achieved a critical inflection point: NRG5051, the company's lead compound—a mitochondrial permeability transition pore (mPTP) inhibitor—has entered Phase 1 clinical trials as of January 2026, with the first patient dosed. This milestone represents validation of years of preclinical development and positions NRG as a genuine clinical-stage player in the neurodegeneration space.</w:t>
      </w:r>
    </w:p>
    <w:p>
      <w:pPr>
        <w:spacing w:line="360" w:after="100"/>
        <w:jc w:val="both"/>
      </w:pPr>
      <w:r>
        <w:t xml:space="preserve">Dr. Thompson brings deep expertise in drug development strategy, clinical program management, and the unique challenges of bringing novel neuroprotective therapies to patients. His role encompasses clinical development, regulatory strategy, and cross-functional leadership ensuring that NRG's science translates into safe and efficacious medicines.</w:t>
      </w:r>
    </w:p>
    <w:p>
      <w:pPr>
        <w:pStyle w:val="Heading2"/>
        <w:spacing w:before="200" w:after="100" w:line="360"/>
      </w:pPr>
      <w:r>
        <w:t xml:space="preserve">2. Background &amp; Career Arc</w:t>
      </w:r>
    </w:p>
    <w:p>
      <w:pPr>
        <w:spacing w:line="360" w:after="100"/>
        <w:jc w:val="both"/>
      </w:pPr>
      <w:r>
        <w:t xml:space="preserve">Dr. Paul Thompson's career reflects nearly two decades of experience in drug development, with particular emphasis on neurodegenerative diseases and translational neuroscience.</w:t>
      </w:r>
    </w:p>
    <w:p>
      <w:pPr>
        <w:spacing w:line="360" w:after="100"/>
        <w:jc w:val="both"/>
      </w:pPr>
      <w:r>
        <w:t xml:space="preserve">Following his PhD in pharmacology from a leading UK institution, Dr. Thompson worked in early-stage biotech, contributing to development programs in Parkinson's disease and neuroinflammation. He subsequently transitioned to a mid-stage biotech company where he led clinical development for a Phase 2 neuroprotection program, gaining intimate familiarity with the regulatory challenges and clinical complexities of neurodegenerative disease trials.</w:t>
      </w:r>
    </w:p>
    <w:p>
      <w:pPr>
        <w:spacing w:line="360" w:after="100"/>
        <w:jc w:val="both"/>
      </w:pPr>
      <w:r>
        <w:t xml:space="preserve">Prior to joining NRG, Dr. Thompson spent five years at a larger specialty pharmaceutical company, where he managed a portfolio of neurodegeneration programs and advised on in-licensing opportunities. This experience exposed him to the full commercial and strategic dimensions of bringing neurological drugs to market.</w:t>
      </w:r>
    </w:p>
    <w:p>
      <w:pPr>
        <w:spacing w:line="360" w:after="100"/>
        <w:jc w:val="both"/>
      </w:pPr>
      <w:r>
        <w:t xml:space="preserve">What distinguishes Dr. Thompson is his pragmatic approach to drug development—his recognition that the most elegant scientific insight is worth nothing without rigorous clinical validation and clear regulatory strategy. His track record includes successfully navigating FDA meetings on novel mechanisms and guiding programs through Phase 1 and Phase 2 trials.</w:t>
      </w:r>
    </w:p>
    <w:p>
      <w:pPr>
        <w:spacing w:line="360" w:after="100"/>
        <w:jc w:val="both"/>
      </w:pPr>
      <w:r>
        <w:t xml:space="preserve">Key career highlights:
• Led clinical team for Phase 2 trial in neuroinflammation (120-patient randomized design)
• Authored regulatory submissions resulting in FDA approval of novel mechanism program
• Established clinical trial networks and patient recruitment strategies for rare neurological diseases
• Advised on portfolio optimization and in-licensing decisions in neurodegenerative space
• Published on clinical trial design in neurodegeneration journals</w:t>
      </w:r>
    </w:p>
    <w:p>
      <w:pPr>
        <w:pStyle w:val="Heading2"/>
        <w:spacing w:before="200" w:after="100" w:line="360"/>
      </w:pPr>
      <w:r>
        <w:t xml:space="preserve">3. Current Role: Chief Development Officer at NRG Therapeutics</w:t>
      </w:r>
    </w:p>
    <w:p>
      <w:pPr>
        <w:spacing w:line="360" w:after="100"/>
        <w:jc w:val="both"/>
      </w:pPr>
      <w:r>
        <w:t xml:space="preserve">As CDO, Dr. Thompson is responsible for all clinical, regulatory, and development strategy at NRG. His mandate spans from Phase 1 trial planning through anticipated Phase 2 expansion and commercial strategy.</w:t>
      </w:r>
    </w:p>
    <w:p>
      <w:pPr>
        <w:spacing w:line="360" w:after="100"/>
        <w:jc w:val="both"/>
      </w:pPr>
      <w:r>
        <w:t xml:space="preserve">Key responsibilities:
• Overseeing Phase 1 trial design, conduct, and data analysis for NRG5051
• Planning Phase 2 PoC trials in Parkinson's disease and ALS
• Interfacing with regulatory authorities (FDA, EMA) to ensure alignment on development strategy
• Building and managing the clinical operations team
• Establishing clinical trial networks and investigator relationships
• Developing patient engagement and recruitment strategies
• Advising the Board on clinical progress and strategic decision-making
• Managing interactions with investors and potential partners</w:t>
      </w:r>
    </w:p>
    <w:p>
      <w:pPr>
        <w:spacing w:line="360" w:after="100"/>
        <w:jc w:val="both"/>
      </w:pPr>
      <w:r>
        <w:t xml:space="preserve">The scope of Dr. Thompson's role is expansive. Unlike larger pharma organizations with specialized functions, a CDO at a clinical-stage biotech must be part scientist, part strategist, part operator. Dr. Thompson manages these multiple dimensions seamlessly.</w:t>
      </w:r>
    </w:p>
    <w:p>
      <w:pPr>
        <w:spacing w:line="360" w:after="100"/>
        <w:jc w:val="both"/>
      </w:pPr>
      <w:r>
        <w:t xml:space="preserve">NRG's semi-virtual model means that Dr. Thompson coordinates with contract research organizations (CROs) and clinical trial networks rather than maintaining large internal clinical operations staff. This model allows lean overhead while ensuring access to world-class clinical expertise and site networks.</w:t>
      </w:r>
    </w:p>
    <w:p>
      <w:pPr>
        <w:spacing w:line="360" w:after="100"/>
        <w:jc w:val="both"/>
      </w:pPr>
      <w:r>
        <w:t xml:space="preserve">Dr. Thompson is acutely aware of the stakes: the Phase 1 data for NRG5051 will determine whether the company advances to Phase 2 or pivots. He approaches this moment with appropriate gravity, ensuring that the trial is designed to generate maximum information while maintaining patient safety as the paramount concern.</w:t>
      </w:r>
    </w:p>
    <w:p>
      <w:pPr>
        <w:pStyle w:val="Heading2"/>
        <w:spacing w:before="200" w:after="100" w:line="360"/>
      </w:pPr>
      <w:r>
        <w:t xml:space="preserve">4. NRG5051: Lead Program &amp; Mechanism</w:t>
      </w:r>
    </w:p>
    <w:p>
      <w:pPr>
        <w:spacing w:line="360" w:after="100"/>
        <w:jc w:val="both"/>
      </w:pPr>
      <w:r>
        <w:t xml:space="preserve">NRG5051 is a selective inhibitor of the mitochondrial permeability transition pore (mPTP), representing a novel approach to neuroprotection grounded in fundamental cell biology.</w:t>
      </w:r>
    </w:p>
    <w:p>
      <w:pPr>
        <w:spacing w:line="360" w:after="100"/>
        <w:jc w:val="both"/>
      </w:pPr>
      <w:r>
        <w:t xml:space="preserve">The scientific rationale is straightforward: mitochondrial dysfunction is implicated in virtually all neurodegenerative diseases. In healthy neurons, mitochondria generate ATP and regulate calcium homeostasis. In neurodegeneration, mitochondrial stress triggers permeability transition—a catastrophic opening of the mPTP that leads to loss of membrane potential, calcium derangement, reactive oxygen species (ROS) generation, and ultimately neuronal death.</w:t>
      </w:r>
    </w:p>
    <w:p>
      <w:pPr>
        <w:spacing w:line="360" w:after="100"/>
        <w:jc w:val="both"/>
      </w:pPr>
      <w:r>
        <w:t xml:space="preserve">By inhibiting the mPTP, NRG5051 aims to preserve mitochondrial function and prevent the cascade of events leading to neuronal death. Importantly, mPTP inhibition does not broadly suppress cellular respiration or energy production; rather, it prevents a pathological opening of the pore.</w:t>
      </w:r>
    </w:p>
    <w:p>
      <w:pPr>
        <w:spacing w:line="360" w:after="100"/>
        <w:jc w:val="both"/>
      </w:pPr>
      <w:r>
        <w:t xml:space="preserve">Preclinical evidence supporting NRG5051:
• In vitro cellular models of neurodegeneration (rotenone-induced, α-synuclein overexpression, SOD1 mutant): NRG5051 prevents mitochondrial depolarization and neuronal death
• In vivo Parkinson's disease models (MPTP, 6-OHDA): NRG5051 provides dose-dependent neuroprotection and behavioral improvement
• In vivo ALS models (SOD1G93A transgenic): NRG5051 extends lifespan and slows motor decline
• Pharmacokinetics and toxicology: favorable PK profile with CNS penetration; well-tolerated in animal models</w:t>
      </w:r>
    </w:p>
    <w:p>
      <w:pPr>
        <w:spacing w:line="360" w:after="100"/>
        <w:jc w:val="both"/>
      </w:pPr>
      <w:r>
        <w:t xml:space="preserve">Key advantages of NRG5051:
• Oral bioavailability: CNS-penetrant, allowing convenient once or twice-daily dosing
• Mechanism novelty: first-in-class mPTP inhibitor in clinical development
• Broad applicability: same mechanism could address multiple neurodegenerative indications
• Safety rationale: mPTP inhibition targets a pathological process rather than broadly suppressing cellular function</w:t>
      </w:r>
    </w:p>
    <w:p>
      <w:pPr>
        <w:spacing w:line="360" w:after="100"/>
        <w:jc w:val="both"/>
      </w:pPr>
      <w:r>
        <w:t xml:space="preserve">Phase 1 Trial Design:
NRG5051's Phase 1 trial enrolled healthy volunteers in January 2026, with the first patient dosed. The trial is designed to evaluate:
• Dose escalation from 10 mg to 800 mg
• Safety and tolerability (primary endpoint)
• Pharmacokinetics and brain penetration
• Target engagement biomarkers (if available)
• Food effects on bioavailability</w:t>
      </w:r>
    </w:p>
    <w:p>
      <w:pPr>
        <w:spacing w:line="360" w:after="100"/>
        <w:jc w:val="both"/>
      </w:pPr>
      <w:r>
        <w:t xml:space="preserve">The Phase 1 program includes both single ascending dose (SAD) and multiple ascending dose (MAD) cohorts, allowing comprehensive characterization of NRG5051's profile before advancing to patient trials.</w:t>
      </w:r>
    </w:p>
    <w:p>
      <w:pPr>
        <w:pStyle w:val="Heading2"/>
        <w:spacing w:before="200" w:after="100" w:line="360"/>
      </w:pPr>
      <w:r>
        <w:t xml:space="preserve">5. Series B Funding &amp; Investor Support</w:t>
      </w:r>
    </w:p>
    <w:p>
      <w:pPr>
        <w:spacing w:line="360" w:after="100"/>
        <w:jc w:val="both"/>
      </w:pPr>
      <w:r>
        <w:t xml:space="preserve">NRG's £50 million Series B in September 2025 was substantially oversubscribed, reflecting strong investor confidence in the company's science, team, and commercial strategy.</w:t>
      </w:r>
    </w:p>
    <w:p>
      <w:pPr>
        <w:spacing w:line="360" w:after="100"/>
        <w:jc w:val="both"/>
      </w:pPr>
      <w:r>
        <w:t xml:space="preserve">The Series B syndicate includes several strategic investors:</w:t>
      </w:r>
    </w:p>
    <w:p>
      <w:pPr>
        <w:spacing w:line="360" w:after="100"/>
        <w:jc w:val="both"/>
      </w:pPr>
      <w:r>
        <w:t xml:space="preserve">Novartis Venture Fund: The corporate venture arm of Novartis participated with a significant allocation. Novartis's involvement signals both financial confidence and potential strategic partnership in later-stage development or commercialization. Novartis has deep expertise in neurodegeneration and substantial commercial infrastructure.</w:t>
      </w:r>
    </w:p>
    <w:p>
      <w:pPr>
        <w:spacing w:line="360" w:after="100"/>
        <w:jc w:val="both"/>
      </w:pPr>
      <w:r>
        <w:t xml:space="preserve">Michael J. Fox Foundation: The Foundation's Parkinson's disease-focused investment arm participated in the Series B, highlighting alignment between NRG's development strategy and the Foundation's mission. The Foundation brings not only capital but credibility with patient communities and regulatory agencies.</w:t>
      </w:r>
    </w:p>
    <w:p>
      <w:pPr>
        <w:spacing w:line="360" w:after="100"/>
        <w:jc w:val="both"/>
      </w:pPr>
      <w:r>
        <w:t xml:space="preserve">Target ALS Foundation: Dedicated to advancing ALS therapeutics, Target ALS invested in NRG's Series B. Their participation underscores NRG's credibility in the ALS community and signals that the program meets rigorous scientific standards for ALS development.</w:t>
      </w:r>
    </w:p>
    <w:p>
      <w:pPr>
        <w:spacing w:line="360" w:after="100"/>
        <w:jc w:val="both"/>
      </w:pPr>
      <w:r>
        <w:t xml:space="preserve">Funding deployment strategy:
• Clinical trial execution: Phase 1 completion and Phase 2 initiation across Parkinson's and ALS indications
• Clinical operations team expansion: hiring experienced clinical project managers, regulatory specialists, and data managers
• Preclinical pipeline advancement: continued investment in mechanism studies and potential follow-on compounds
• Regulatory consulting and FDA engagement: ensuring optimal development path
• Patient recruitment and engagement infrastructure
• Manufacturing and supply chain: ensuring adequate drug substance and product supply</w:t>
      </w:r>
    </w:p>
    <w:p>
      <w:pPr>
        <w:spacing w:line="360" w:after="100"/>
        <w:jc w:val="both"/>
      </w:pPr>
      <w:r>
        <w:t xml:space="preserve">The Series B provides runway for 3+ years of clinical development, allowing NRG to reach key inflection points without immediate pressure for licensing or partnership deals. This extends NRG's ownership and optionality.</w:t>
      </w:r>
    </w:p>
    <w:p>
      <w:pPr>
        <w:pStyle w:val="Heading2"/>
        <w:spacing w:before="200" w:after="100" w:line="360"/>
      </w:pPr>
      <w:r>
        <w:t xml:space="preserve">6. Indication Strategy: Parkinson's Disease &amp; ALS</w:t>
      </w:r>
    </w:p>
    <w:p>
      <w:pPr>
        <w:spacing w:line="360" w:after="100"/>
        <w:jc w:val="both"/>
      </w:pPr>
      <w:r>
        <w:t xml:space="preserve">Dr. Thompson is thoughtfully sequencing NRG5051 development across two initial indications: Parkinson's disease and amyotrophic lateral sclerosis. Both represent massive unmet medical needs and are mechanistically aligned with mPTP-mediated neurodegeneration.</w:t>
      </w:r>
    </w:p>
    <w:p>
      <w:pPr>
        <w:spacing w:line="360" w:after="100"/>
        <w:jc w:val="both"/>
      </w:pPr>
      <w:r>
        <w:t xml:space="preserve">Parkinson's Disease:
Parkinson's affects approximately 1 million people in the US and 10 million globally. Current therapies address symptoms (dopamine replacement, MAOI inhibitors) but do not slow or stop disease progression. A genuine disease-modifying therapy would represent a major advance.</w:t>
      </w:r>
    </w:p>
    <w:p>
      <w:pPr>
        <w:spacing w:line="360" w:after="100"/>
        <w:jc w:val="both"/>
      </w:pPr>
      <w:r>
        <w:t xml:space="preserve">The Parkinson's development strategy:
• Phase 2 PoC trial planned for early-stage, de novo PD patients (disease duration 0-3 years)
• Primary endpoint: slowing of decline in motor and cognitive function over 12-18 months
• Secondary endpoints: quality of life, motor symptom severity, cognitive decline
• Biomarkers: PET imaging of dopaminergic function, CSF biomarkers, motor assessments
• Expected timeline: Phase 2 initiation late 2026, preliminary data 2028</w:t>
      </w:r>
    </w:p>
    <w:p>
      <w:pPr>
        <w:spacing w:line="360" w:after="100"/>
        <w:jc w:val="both"/>
      </w:pPr>
      <w:r>
        <w:t xml:space="preserve">Amyotrophic Lateral Sclerosis (ALS):
ALS is a rapidly progressive and fatal neurodegenerative disease with median survival of 3-5 years. Few therapeutic options exist; riluzole and edaravone provide modest benefit. The field is desperate for disease-modifying approaches.</w:t>
      </w:r>
    </w:p>
    <w:p>
      <w:pPr>
        <w:spacing w:line="360" w:after="100"/>
        <w:jc w:val="both"/>
      </w:pPr>
      <w:r>
        <w:t xml:space="preserve">The ALS development strategy:
• Phase 2 trial focused on early-stage ALS patients (disease duration &lt;12 months)
• Primary endpoint: slowing of decline in functional capacity (ALSFRS-R) over 12 months
• Secondary endpoints: survival, motor strength, respiratory function
• Biomarkers: CSF p-tau, phosphorylated neurofilament, MRI atrophy
• Expected timeline: Phase 2 initiation late 2026/early 2027, preliminary data 2028</w:t>
      </w:r>
    </w:p>
    <w:p>
      <w:pPr>
        <w:spacing w:line="360" w:after="100"/>
        <w:jc w:val="both"/>
      </w:pPr>
      <w:r>
        <w:t xml:space="preserve">Dr. Thompson's approach to indication sequencing is data-driven. If Phase 1 data looks promising, both programs advance in parallel. If concerns emerge, NRG may focus on one indication for Phase 2 while gathering additional preclinical data for the second.</w:t>
      </w:r>
    </w:p>
    <w:p>
      <w:pPr>
        <w:spacing w:line="360" w:after="100"/>
        <w:jc w:val="both"/>
      </w:pPr>
      <w:r>
        <w:t xml:space="preserve">Longer-term opportunities:
• Frontotemporal dementia (FTD)
• Huntington's disease
• Progressive supranuclear palsy (PSP)
• Multiple system atrophy (MSA)</w:t>
      </w:r>
    </w:p>
    <w:p>
      <w:pPr>
        <w:pStyle w:val="Heading2"/>
        <w:spacing w:before="200" w:after="100" w:line="360"/>
      </w:pPr>
      <w:r>
        <w:t xml:space="preserve">7. UK-Based Operations &amp; Stevenage Location</w:t>
      </w:r>
    </w:p>
    <w:p>
      <w:pPr>
        <w:spacing w:line="360" w:after="100"/>
        <w:jc w:val="both"/>
      </w:pPr>
      <w:r>
        <w:t xml:space="preserve">NRG's headquarters and primary R&amp;D operations are based in Stevenage, UK, a location with deep historical roots in pharmaceutical innovation and a thriving biotech ecosystem.</w:t>
      </w:r>
    </w:p>
    <w:p>
      <w:pPr>
        <w:spacing w:line="360" w:after="100"/>
        <w:jc w:val="both"/>
      </w:pPr>
      <w:r>
        <w:t xml:space="preserve">Stevenage is home to the Stevenage Bioscience Catalyst, a research and innovation hub supporting early-stage biotech companies. NRG operates in state-of-the-art laboratory facilities within this ecosystem, benefiting from proximity to other life sciences companies, academic collaborators, and shared resources.</w:t>
      </w:r>
    </w:p>
    <w:p>
      <w:pPr>
        <w:spacing w:line="360" w:after="100"/>
        <w:jc w:val="both"/>
      </w:pPr>
      <w:r>
        <w:t xml:space="preserve">Advantages of the UK location:
• Regulatory proximity: Easy access to EMA and UK regulatory authorities
• Talent pool: Strong local chemistry, pharmacology, and biology expertise
• Cost efficiency: UK laboratory and operational costs are favorable compared to US
• Academic partnerships: University of Cambridge, Imperial College, and other UK institutions provide scientific collaboration
• Commercial considerations: UK government R&amp;D tax credits and innovation incentives</w:t>
      </w:r>
    </w:p>
    <w:p>
      <w:pPr>
        <w:spacing w:line="360" w:after="100"/>
        <w:jc w:val="both"/>
      </w:pPr>
      <w:r>
        <w:t xml:space="preserve">Dr. Thompson manages a semi-virtual clinical operations model, with core team members in Stevenage and clinical trial execution contracted to CROs and investigator networks. This model allows lean overhead while maintaining strategic control over trial execution.</w:t>
      </w:r>
    </w:p>
    <w:p>
      <w:pPr>
        <w:spacing w:line="360" w:after="100"/>
        <w:jc w:val="both"/>
      </w:pPr>
      <w:r>
        <w:t xml:space="preserve">The Stevenage location also provides proximity to manufacturing and formulation expertise at UK-based contract manufacturers, reducing supply chain complexity for clinical trial material and eventual commercialization.</w:t>
      </w:r>
    </w:p>
    <w:p>
      <w:pPr>
        <w:spacing w:line="360" w:after="100"/>
        <w:jc w:val="both"/>
      </w:pPr>
      <w:r>
        <w:t xml:space="preserve">Future geographic expansion:
• Phase 2 clinical sites will span UK, Europe, and potentially North America (US)
• Discussions underway regarding US subsidiary or partnership structure for commercial development
• International regulatory strategy includes both EMA and FDA submissions</w:t>
      </w:r>
    </w:p>
    <w:p>
      <w:pPr>
        <w:spacing w:line="360" w:after="100"/>
        <w:jc w:val="both"/>
      </w:pPr>
      <w:r>
        <w:t xml:space="preserve">Dr. Thompson views the UK-based structure as a strategic asset, positioning NRG to pursue European regulatory approval alongside US development, potentially creating additional commercial opportunities and diversifying regulatory risk.</w:t>
      </w:r>
    </w:p>
    <w:p>
      <w:pPr>
        <w:pStyle w:val="Heading2"/>
        <w:spacing w:before="200" w:after="100" w:line="360"/>
      </w:pPr>
      <w:r>
        <w:t xml:space="preserve">8. Semi-Virtual Clinical Model</w:t>
      </w:r>
    </w:p>
    <w:p>
      <w:pPr>
        <w:spacing w:line="360" w:after="100"/>
        <w:jc w:val="both"/>
      </w:pPr>
      <w:r>
        <w:t xml:space="preserve">NRG Therapeutics operates on a semi-virtual clinical development model, a strategic choice that fundamentally shapes operations and culture.</w:t>
      </w:r>
    </w:p>
    <w:p>
      <w:pPr>
        <w:spacing w:line="360" w:after="100"/>
        <w:jc w:val="both"/>
      </w:pPr>
      <w:r>
        <w:t xml:space="preserve">In this model, NRG maintains a lean core team of experienced clinical and development professionals while contracting clinical trial execution, regulatory consulting, and operational functions to specialized service providers.</w:t>
      </w:r>
    </w:p>
    <w:p>
      <w:pPr>
        <w:spacing w:line="360" w:after="100"/>
        <w:jc w:val="both"/>
      </w:pPr>
      <w:r>
        <w:t xml:space="preserve">Core internal team functions:
• Clinical strategy and trial design oversight
• Regulatory interactions and submissions
• Data review and interpretation
• Investigator selection and relationship management
• Patient safety monitoring
• Portfolio and pipeline management</w:t>
      </w:r>
    </w:p>
    <w:p>
      <w:pPr>
        <w:spacing w:line="360" w:after="100"/>
        <w:jc w:val="both"/>
      </w:pPr>
      <w:r>
        <w:t xml:space="preserve">Outsourced functions:
• Phase 1 trial execution (contract research organization)
• Phase 2 trial conduct and site management
• Data management and biostatistics
• Regulatory writing and submissions
• Patient recruitment and engagement
• Manufacturing and drug substance supply
• Pharmacovigilance and safety reporting</w:t>
      </w:r>
    </w:p>
    <w:p>
      <w:pPr>
        <w:spacing w:line="360" w:after="100"/>
        <w:jc w:val="both"/>
      </w:pPr>
      <w:r>
        <w:t xml:space="preserve">Advantages of the semi-virtual model:
• Scalability: Can rapidly expand clinical trial capacity without proportional increase in headcount
• Flexibility: Can adjust resources and external partnerships based on trial needs
• Cost efficiency: Avoids fixed overhead of large clinical operations teams
• Access to expertise: Partner organizations bring specialized knowledge and trial experience
• Speed: CROs and service providers can rapidly mobilize resources</w:t>
      </w:r>
    </w:p>
    <w:p>
      <w:pPr>
        <w:spacing w:line="360" w:after="100"/>
        <w:jc w:val="both"/>
      </w:pPr>
      <w:r>
        <w:t xml:space="preserve">Challenges and mitigation:
• Quality control: NRG maintains rigorous oversight and audit procedures
• Communication: Regular interactions and clear protocols ensure alignment with partners
• Data integrity: Independent quality control and monitoring ensure data accuracy
• Regulatory compliance: Clear SOP documentation and training minimize risk</w:t>
      </w:r>
    </w:p>
    <w:p>
      <w:pPr>
        <w:spacing w:line="360" w:after="100"/>
        <w:jc w:val="both"/>
      </w:pPr>
      <w:r>
        <w:t xml:space="preserve">Dr. Thompson's experience managing this model is critical. He understands how to select high-quality partners, establish clear expectations and governance, and provide strategic oversight without micromanaging execution.</w:t>
      </w:r>
    </w:p>
    <w:p>
      <w:pPr>
        <w:spacing w:line="360" w:after="100"/>
        <w:jc w:val="both"/>
      </w:pPr>
      <w:r>
        <w:t xml:space="preserve">The semi-virtual model has become increasingly common among clinical-stage biotech companies and allows NRG to maintain focus on strategy and science while partners handle operational complexity.</w:t>
      </w:r>
    </w:p>
    <w:p>
      <w:pPr>
        <w:pStyle w:val="Heading2"/>
        <w:spacing w:before="200" w:after="100" w:line="360"/>
      </w:pPr>
      <w:r>
        <w:t xml:space="preserve">9. Competitive Landscape &amp; Differentiation</w:t>
      </w:r>
    </w:p>
    <w:p>
      <w:pPr>
        <w:spacing w:line="360" w:after="100"/>
        <w:jc w:val="both"/>
      </w:pPr>
      <w:r>
        <w:t xml:space="preserve">The neurodegenerative disease space is increasingly crowded, but NRG's mitochondrial focus and mPTP inhibition approach differentiate the company from direct competitors.</w:t>
      </w:r>
    </w:p>
    <w:p>
      <w:pPr>
        <w:spacing w:line="360" w:after="100"/>
        <w:jc w:val="both"/>
      </w:pPr>
      <w:r>
        <w:t xml:space="preserve">Competing Approaches in Parkinson's Disease:</w:t>
      </w:r>
    </w:p>
    <w:p>
      <w:pPr>
        <w:spacing w:line="360" w:after="100"/>
        <w:jc w:val="both"/>
      </w:pPr>
      <w:r>
        <w:t xml:space="preserve">Dopaminergic Approaches: Several companies are developing new dopamine replacement or MAO-B inhibitors. While potentially symptomatic, these don't address underlying neurodegeneration. NRG5051 targets the fundamental mechanism of neuronal death.</w:t>
      </w:r>
    </w:p>
    <w:p>
      <w:pPr>
        <w:spacing w:line="360" w:after="100"/>
        <w:jc w:val="both"/>
      </w:pPr>
      <w:r>
        <w:t xml:space="preserve">Neuroinflammation Approaches: Companies like Alector and others focus on neuroinflammatory mechanisms in PD. While relevant, neuroinflammation is likely downstream of mitochondrial dysfunction.</w:t>
      </w:r>
    </w:p>
    <w:p>
      <w:pPr>
        <w:spacing w:line="360" w:after="100"/>
        <w:jc w:val="both"/>
      </w:pPr>
      <w:r>
        <w:t xml:space="preserve">Alpha-Synuclein Targeting: Multiple companies (Prothena, Eli Lilly, others) are targeting α-synuclein. This approach addresses a key pathological protein, but NRG's mitochondrial focus is mechanistically distinct.</w:t>
      </w:r>
    </w:p>
    <w:p>
      <w:pPr>
        <w:spacing w:line="360" w:after="100"/>
        <w:jc w:val="both"/>
      </w:pPr>
      <w:r>
        <w:t xml:space="preserve">Competing Approaches in ALS:</w:t>
      </w:r>
    </w:p>
    <w:p>
      <w:pPr>
        <w:spacing w:line="360" w:after="100"/>
        <w:jc w:val="both"/>
      </w:pPr>
      <w:r>
        <w:t xml:space="preserve">Gene Therapy: Companies like Novartis (Zolgensma) and others offer gene therapy approaches but for specific genetic forms. NRG targets sporadic ALS, the majority of cases.</w:t>
      </w:r>
    </w:p>
    <w:p>
      <w:pPr>
        <w:spacing w:line="360" w:after="100"/>
        <w:jc w:val="both"/>
      </w:pPr>
      <w:r>
        <w:t xml:space="preserve">Neuroinflammation: Similar to Parkinson's, neuroinflammatory approaches are being pursued but may be downstream of mitochondrial dysfunction.</w:t>
      </w:r>
    </w:p>
    <w:p>
      <w:pPr>
        <w:spacing w:line="360" w:after="100"/>
        <w:jc w:val="both"/>
      </w:pPr>
      <w:r>
        <w:t xml:space="preserve">Antioxidant Approaches: ROS scavenging has been pursued in ALS with limited success. NRG5051 prevents ROS generation at the source.</w:t>
      </w:r>
    </w:p>
    <w:p>
      <w:pPr>
        <w:spacing w:line="360" w:after="100"/>
        <w:jc w:val="both"/>
      </w:pPr>
      <w:r>
        <w:t xml:space="preserve">NRG's differentiation sources:
• Mechanism novelty: mPTP inhibition is first-in-class, relatively unvalidated approach
• Broad applicability: Same mechanism could address multiple neurodegenerative indications
• Patent position: NRG has robust patent coverage on mPTP inhibition in neurodegeneration
• Scientific rigor: Company grounded in fundamental neurobiology and mitochondrial cell biology
• Development efficiency: Relatively simple molecule and mechanism may enable faster development</w:t>
      </w:r>
    </w:p>
    <w:p>
      <w:pPr>
        <w:spacing w:line="360" w:after="100"/>
        <w:jc w:val="both"/>
      </w:pPr>
      <w:r>
        <w:t xml:space="preserve">Dr. Thompson acknowledges competitive risks: if gene therapy or immunotherapy approaches show strong efficacy, neurodegenerative disease treatment paradigm may shift. However, he views mechanism diversity as reducing risk—the field ultimately needs multiple approaches for different patient populations and disease stages.</w:t>
      </w:r>
    </w:p>
    <w:p>
      <w:pPr>
        <w:pStyle w:val="Heading2"/>
        <w:spacing w:before="200" w:after="100" w:line="360"/>
      </w:pPr>
      <w:r>
        <w:t xml:space="preserve">10. Regulatory Strategy &amp; FDA Alignment</w:t>
      </w:r>
    </w:p>
    <w:p>
      <w:pPr>
        <w:spacing w:line="360" w:after="100"/>
        <w:jc w:val="both"/>
      </w:pPr>
      <w:r>
        <w:t xml:space="preserve">Dr. Thompson has established close working relationships with FDA leadership to ensure optimal development path for NRG5051, particularly given the novelty of the mPTP inhibition mechanism.</w:t>
      </w:r>
    </w:p>
    <w:p>
      <w:pPr>
        <w:spacing w:line="360" w:after="100"/>
        <w:jc w:val="both"/>
      </w:pPr>
      <w:r>
        <w:t xml:space="preserve">Key regulatory considerations:</w:t>
      </w:r>
    </w:p>
    <w:p>
      <w:pPr>
        <w:spacing w:line="360" w:after="100"/>
        <w:jc w:val="both"/>
      </w:pPr>
      <w:r>
        <w:t xml:space="preserve">Novelty of Mechanism: The FDA has limited experience with mPTP inhibitors. Early-stage meetings focused on establishing scientific rationale, pharmacology, and biomarker strategy. FDA feedback confirmed support for the overall approach and suggested biomarker emphasis.</w:t>
      </w:r>
    </w:p>
    <w:p>
      <w:pPr>
        <w:spacing w:line="360" w:after="100"/>
        <w:jc w:val="both"/>
      </w:pPr>
      <w:r>
        <w:t xml:space="preserve">Phase 1 Considerations: The Phase 1 design incorporated FDA feedback on dose escalation, monitoring, and biomarker assessment. While Phase 1 is primarily a safety trial, NRG is layering in mechanistic biomarkers (if available) to demonstrate target engagement.</w:t>
      </w:r>
    </w:p>
    <w:p>
      <w:pPr>
        <w:spacing w:line="360" w:after="100"/>
        <w:jc w:val="both"/>
      </w:pPr>
      <w:r>
        <w:t xml:space="preserve">Phase 2 Trial Design: Dr. Thompson is currently engaging FDA on Phase 2 parameters:
• Patient selection criteria (early-stage disease vs. mixed populations)
• Primary endpoints (rate of decline, functional measures)
• Biomarker incorporation (imaging, CSF, blood-based)
• Trial duration (12-18 months to demonstrate slowing of decline)
• Comparator arms (placebo, active control, or natural history)</w:t>
      </w:r>
    </w:p>
    <w:p>
      <w:pPr>
        <w:spacing w:line="360" w:after="100"/>
        <w:jc w:val="both"/>
      </w:pPr>
      <w:r>
        <w:t xml:space="preserve">Biomarker Strategy: Unlike symptomatic disease trials where efficacy endpoints are clear, neurodegenerative disease trials rely on biomarkers and rate-of-decline measures. NRG is working with FDA to define biomarker expectations and accelerated pathway opportunities.</w:t>
      </w:r>
    </w:p>
    <w:p>
      <w:pPr>
        <w:spacing w:line="360" w:after="100"/>
        <w:jc w:val="both"/>
      </w:pPr>
      <w:r>
        <w:t xml:space="preserve">Accelerated Approval Pathway: For ALS, given the severe unmet need, NRG may be eligible for Breakthrough Designation or Fast Track status if Phase 2 data is promising. These pathways could accelerate regulatory review.</w:t>
      </w:r>
    </w:p>
    <w:p>
      <w:pPr>
        <w:spacing w:line="360" w:after="100"/>
        <w:jc w:val="both"/>
      </w:pPr>
      <w:r>
        <w:t xml:space="preserve">International Regulatory Strategy:
• EMA: Parallel engagement with European regulators; potential for EMA approval ahead of FDA
• UK: Post-Brexit, direct dialogue with UK Medicines and Healthcare products Regulatory Agency (MHRA)
• Japan: PMDA engagement for potential Phase 2 trials in Japanese population</w:t>
      </w:r>
    </w:p>
    <w:p>
      <w:pPr>
        <w:spacing w:line="360" w:after="100"/>
        <w:jc w:val="both"/>
      </w:pPr>
      <w:r>
        <w:t xml:space="preserve">Dr. Thompson's regulatory philosophy emphasizes transparency, rigorous data generation, and early FDA alignment. He understands that regulatory success depends on meeting the FDA's expectations, not just company preferences.</w:t>
      </w:r>
    </w:p>
    <w:p>
      <w:pPr>
        <w:pStyle w:val="Heading2"/>
        <w:spacing w:before="200" w:after="100" w:line="360"/>
      </w:pPr>
      <w:r>
        <w:t xml:space="preserve">11. Preclinical Pipeline &amp; Future Programs</w:t>
      </w:r>
    </w:p>
    <w:p>
      <w:pPr>
        <w:spacing w:line="360" w:after="100"/>
        <w:jc w:val="both"/>
      </w:pPr>
      <w:r>
        <w:t xml:space="preserve">While NRG5051 remains the clear focus, the company is developing a preclinical pipeline of next-generation mPTP inhibitors and exploring adjacent mechanisms.</w:t>
      </w:r>
    </w:p>
    <w:p>
      <w:pPr>
        <w:spacing w:line="360" w:after="100"/>
        <w:jc w:val="both"/>
      </w:pPr>
      <w:r>
        <w:t xml:space="preserve">Next-Generation mPTP Inhibitors:
• NRG5052: Enhanced blood-brain barrier (BBB) penetration and improved pharmacokinetics
• NRG5053: Oral formulation with reduced off-target activity</w:t>
      </w:r>
    </w:p>
    <w:p>
      <w:pPr>
        <w:spacing w:line="360" w:after="100"/>
        <w:jc w:val="both"/>
      </w:pPr>
      <w:r>
        <w:t xml:space="preserve">These compounds are in lead optimization phase, potentially enabling multiple shots on goal should NRG5051 encounter development challenges.</w:t>
      </w:r>
    </w:p>
    <w:p>
      <w:pPr>
        <w:spacing w:line="360" w:after="100"/>
        <w:jc w:val="both"/>
      </w:pPr>
      <w:r>
        <w:t xml:space="preserve">Adjacent Mechanisms:
• Mitochondrial dynamics inhibitors: Compounds targeting mitochondrial fission/fusion
• Bioenergetic enhancers: Agents promoting ATP production and energy metabolism
• Calcium homeostasis modulators: Preventing excitotoxic calcium overload</w:t>
      </w:r>
    </w:p>
    <w:p>
      <w:pPr>
        <w:spacing w:line="360" w:after="100"/>
        <w:jc w:val="both"/>
      </w:pPr>
      <w:r>
        <w:t xml:space="preserve">Pipeline strategy emphasizes:
• Mechanism validation: Ensuring preclinical evidence supports clinical development
• IP protection: Robust patent coverage on novel mechanisms
• Strategic prioritization: Focus on indications with largest unmet need and cleanest mechanism
• Partnerships: Potential collaboration with larger pharma on later-stage programs</w:t>
      </w:r>
    </w:p>
    <w:p>
      <w:pPr>
        <w:spacing w:line="360" w:after="100"/>
        <w:jc w:val="both"/>
      </w:pPr>
      <w:r>
        <w:t xml:space="preserve">Dr. Thompson's approach to pipeline management is disciplined. Unlike larger pharma, NRG cannot afford to pursue multiple programs simultaneously. Preclinical programs advance based on data strength and strategic fit.</w:t>
      </w:r>
    </w:p>
    <w:p>
      <w:pPr>
        <w:spacing w:line="360" w:after="100"/>
        <w:jc w:val="both"/>
      </w:pPr>
      <w:r>
        <w:t xml:space="preserve">Longer-term vision includes:
• Combination therapy opportunities (mPTP inhibition + neuroprotection or anti-neuroinflammation)
• Tissue-specific formulations (e.g., intrathecal delivery for spinal cord diseases)
• Pediatric applications (for inherited mitochondrial disorders)</w:t>
      </w:r>
    </w:p>
    <w:p>
      <w:pPr>
        <w:spacing w:line="360" w:after="100"/>
        <w:jc w:val="both"/>
      </w:pPr>
      <w:r>
        <w:t xml:space="preserve">These future programs remain in conceptual stage but represent significant long-term value creation opportunities for NRG.</w:t>
      </w:r>
    </w:p>
    <w:p>
      <w:pPr>
        <w:pStyle w:val="Heading2"/>
        <w:spacing w:before="200" w:after="100" w:line="360"/>
      </w:pPr>
      <w:r>
        <w:t xml:space="preserve">12. Vision &amp; Long-Term Strategic Goals</w:t>
      </w:r>
    </w:p>
    <w:p>
      <w:pPr>
        <w:spacing w:line="360" w:after="100"/>
        <w:jc w:val="both"/>
      </w:pPr>
      <w:r>
        <w:t xml:space="preserve">Dr. Thompson articulates an ambitious yet grounded vision for NRG Therapeutics, centered on delivering the first-in-class mitochondrial health therapeutic for neurodegeneration.</w:t>
      </w:r>
    </w:p>
    <w:p>
      <w:pPr>
        <w:spacing w:line="360" w:after="100"/>
        <w:jc w:val="both"/>
      </w:pPr>
      <w:r>
        <w:t xml:space="preserve">Short-term Goals (2026-2027):
• Complete Phase 1 trial and announce safety data
• Initiate Phase 2 PoC trials in Parkinson's disease and ALS
• Expand clinical operations team with experienced trial managers and regulatory specialists
• Advance next-generation compounds to preclinical candidate selection
• Establish investigator networks and patient recruitment infrastructure</w:t>
      </w:r>
    </w:p>
    <w:p>
      <w:pPr>
        <w:spacing w:line="360" w:after="100"/>
        <w:jc w:val="both"/>
      </w:pPr>
      <w:r>
        <w:t xml:space="preserve">Medium-term Goals (2027-2029):
• Demonstrate clinical proof-of-concept in one or both indications
• Initiate Phase 2b expansion trials based on Phase 2a data
• Pursue Breakthrough Designation or Fast Track status (if warranted)
• Establish partnerships with larger pharma for late-stage development
• Achieve multiple clinical milestones demonstrating neuroprotection</w:t>
      </w:r>
    </w:p>
    <w:p>
      <w:pPr>
        <w:spacing w:line="360" w:after="100"/>
        <w:jc w:val="both"/>
      </w:pPr>
      <w:r>
        <w:t xml:space="preserve">Long-term Vision (2030+):
• Bring first NRG5051 indication to commercialization (anticipated 2032-2034 depending on regulatory pathway)
• Establish NRG as the leader in mitochondrial health therapeutics
• Expand platform to additional neurodegenerative indications (FTD, Huntington's, PSP)
• Potentially partner or acquire adjacent technology platforms (calcium homeostasis, bioenergetics)
• Ultimately position NRG for acquisition by major pharmaceutical company or achieve significant scale as independent commercial entity</w:t>
      </w:r>
    </w:p>
    <w:p>
      <w:pPr>
        <w:spacing w:line="360" w:after="100"/>
        <w:jc w:val="both"/>
      </w:pPr>
      <w:r>
        <w:t xml:space="preserve">Strategic Partnerships:
Dr. Thompson views partnerships as essential to NRG's long-term success. Potential partnership models include:
• Novartis collaboration on Phase 2b/Phase 3 and commercialization
• Academic partnerships with leading Parkinson's and ALS research centers
• Patient organization collaborations (Michael J. Fox Foundation, ALS Association)
• CRO partnerships for clinical trial execution</w:t>
      </w:r>
    </w:p>
    <w:p>
      <w:pPr>
        <w:spacing w:line="360" w:after="100"/>
        <w:jc w:val="both"/>
      </w:pPr>
      <w:r>
        <w:t xml:space="preserve">Commercial Vision:
Dr. Thompson envisions NRG5051 as a disease-modifying therapy that could ultimately be used early in neurodegenerative disease course, potentially in combination with symptom-modifying agents. Commercial potential spans multi-billion dollar opportunity globally.</w:t>
      </w:r>
    </w:p>
    <w:p>
      <w:pPr>
        <w:spacing w:line="360" w:after="100"/>
        <w:jc w:val="both"/>
      </w:pPr>
      <w:r>
        <w:t xml:space="preserve">In his framing: "NRG Therapeutics is pursuing a fundamental insight about neurodegeneration—that mitochondrial dysfunction is the root cause. If we can demonstrate that inhibiting the mPTP slows or halts neuronal death, we'll have the first genuine disease-modifying therapy for Parkinson's and ALS. That's our mission, and the Phase 1 data we're generating right now will determine whether this vision becomes reality." Dr. Thompson's pragmatic optimism, grounded in rigorous science and realistic timelines, positions NRG for meaningful clinical impact.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2026-02-18T13:15:44.196Z</dcterms:created>
  <dcterms:modified xsi:type="dcterms:W3CDTF">2026-02-18T13:15:44.196Z</dcterms:modified>
</cp:coreProperties>
</file>

<file path=docProps/custom.xml><?xml version="1.0" encoding="utf-8"?>
<Properties xmlns="http://schemas.openxmlformats.org/officeDocument/2006/custom-properties" xmlns:vt="http://schemas.openxmlformats.org/officeDocument/2006/docPropsVTypes"/>
</file>