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Dr. Joshua Pinto, PhD</w:t>
      </w:r>
    </w:p>
    <w:p>
      <w:pPr>
        <w:spacing w:after="400"/>
      </w:pPr>
      <w:r>
        <w:t xml:space="preserve">President, Neumora Therapeutics</w:t>
      </w:r>
    </w:p>
    <w:p>
      <w:pPr>
        <w:spacing w:after="200"/>
      </w:pPr>
      <w:r>
        <w:t xml:space="preserve">1. Role &amp; Scope</w:t>
      </w:r>
    </w:p>
    <w:p>
      <w:pPr>
        <w:spacing w:after="200"/>
      </w:pPr>
      <w:r>
        <w:t xml:space="preserve">As President of Neumora Therapeutics, Dr. Pinto drives the scientific and commercial strategy of a precision neuroscience company distinguished by its integration of multimodal data (genomics, imaging, EEG, digital phenotyping, clinical assessments) into patient-level insights. He oversees R&amp;D, clinical development, regulatory affairs, and partnerships. His role is deeply rooted in translating data science and computational neuroscience into next-generation psychiatric therapeutics. He reports to the CEO and Board, managing relationships with strategic partners (Amgen, Vanderbilt), key opinion leaders, and regulatory agencies. His mandate is to validate the Precision Toolbox platform, advance M4 muscarinic PAM candidates through clinical development, and establish Neumora as a leader in precision neuropsychiatry.</w:t>
      </w:r>
    </w:p>
    <w:p>
      <w:pPr>
        <w:spacing w:after="100"/>
      </w:pPr>
      <w:r>
        <w:t xml:space="preserve">Key Responsibilities:</w:t>
      </w:r>
    </w:p>
    <w:p>
      <w:pPr>
        <w:pStyle w:val="ListParagraph"/>
        <w:numPr>
          <w:ilvl w:val="0"/>
          <w:numId w:val="1"/>
        </w:numPr>
        <w:spacing w:after="80"/>
      </w:pPr>
      <w:r>
        <w:t xml:space="preserve">Platform validation: Precision Toolbox integration of Data Biopsy Signatures and Precision Phenotypes</w:t>
      </w:r>
    </w:p>
    <w:p>
      <w:pPr>
        <w:pStyle w:val="ListParagraph"/>
        <w:numPr>
          <w:ilvl w:val="0"/>
          <w:numId w:val="1"/>
        </w:numPr>
        <w:spacing w:after="80"/>
      </w:pPr>
      <w:r>
        <w:t xml:space="preserve">Clinical development strategy for M4 PAM candidates (NMRA-861, NMRA-898) in schizophrenia</w:t>
      </w:r>
    </w:p>
    <w:p>
      <w:pPr>
        <w:pStyle w:val="ListParagraph"/>
        <w:numPr>
          <w:ilvl w:val="0"/>
          <w:numId w:val="1"/>
        </w:numPr>
        <w:spacing w:after="80"/>
      </w:pPr>
      <w:r>
        <w:t xml:space="preserve">Strategic partnerships: Amgen relationship management and Vanderbilt license optimization</w:t>
      </w:r>
    </w:p>
    <w:p>
      <w:pPr>
        <w:pStyle w:val="ListParagraph"/>
        <w:numPr>
          <w:ilvl w:val="0"/>
          <w:numId w:val="1"/>
        </w:numPr>
        <w:spacing w:after="400"/>
      </w:pPr>
      <w:r>
        <w:t xml:space="preserve">Regulatory pathway definition and IND advancement for NMRA-266 and beyond</w:t>
      </w:r>
    </w:p>
    <w:p>
      <w:pPr>
        <w:spacing w:after="200"/>
      </w:pPr>
      <w:r>
        <w:t xml:space="preserve">2. Strategic Priorities</w:t>
      </w:r>
    </w:p>
    <w:p>
      <w:pPr>
        <w:spacing w:after="200"/>
      </w:pPr>
      <w:r>
        <w:t xml:space="preserve">Dr. Pinto's primary strategic focus is demonstrating the clinical utility of the Precision Toolbox—proving that multimodal data integration can stratify schizophrenia patients and predict M4 PAM responsiveness. The Phase 1 data for NMRA-861/898 showing favorable safety is a critical foundation; Phase 1b/2 studies must now integrate biomarkers and digital phenotyping to build the precision medicine narrative. NMRA-266 represents an adjacent opportunity; its IND clearance enables exploration of indications beyond schizophrenia, potentially depression, anxiety, or cognitive dysfunction. The Amgen partnership provides validation and commercial scale; leveraging this relationship to access Amgen's infrastructure and market access is strategically essential. Long-term, he sees Neumora as the gold standard for precision psychiatry, with a differentiator that transcends mechanism to encompass patient stratification, biomarker-driven development, and personalized treatment selection.</w:t>
      </w:r>
    </w:p>
    <w:p>
      <w:pPr>
        <w:spacing w:after="100"/>
      </w:pPr>
      <w:r>
        <w:t xml:space="preserve">Immediate Objectives:</w:t>
      </w:r>
    </w:p>
    <w:p>
      <w:pPr>
        <w:pStyle w:val="ListParagraph"/>
        <w:numPr>
          <w:ilvl w:val="0"/>
          <w:numId w:val="1"/>
        </w:numPr>
        <w:spacing w:after="80"/>
      </w:pPr>
      <w:r>
        <w:t xml:space="preserve">Design and initiate Phase 1b/2 studies integrating Precision Toolbox biomarkers</w:t>
      </w:r>
    </w:p>
    <w:p>
      <w:pPr>
        <w:pStyle w:val="ListParagraph"/>
        <w:numPr>
          <w:ilvl w:val="0"/>
          <w:numId w:val="1"/>
        </w:numPr>
        <w:spacing w:after="80"/>
      </w:pPr>
      <w:r>
        <w:t xml:space="preserve">Validate Data Biopsy Signatures and Precision Phenotypes in early patient cohorts</w:t>
      </w:r>
    </w:p>
    <w:p>
      <w:pPr>
        <w:pStyle w:val="ListParagraph"/>
        <w:numPr>
          <w:ilvl w:val="0"/>
          <w:numId w:val="1"/>
        </w:numPr>
        <w:spacing w:after="80"/>
      </w:pPr>
      <w:r>
        <w:t xml:space="preserve">Advance NMRA-266 IND into exploratory clinical development</w:t>
      </w:r>
    </w:p>
    <w:p>
      <w:pPr>
        <w:pStyle w:val="ListParagraph"/>
        <w:numPr>
          <w:ilvl w:val="0"/>
          <w:numId w:val="1"/>
        </w:numPr>
        <w:spacing w:after="400"/>
      </w:pPr>
      <w:r>
        <w:t xml:space="preserve">Operationalize Amgen partnership and expand commercial collaboration scope</w:t>
      </w:r>
    </w:p>
    <w:p>
      <w:pPr>
        <w:spacing w:after="200"/>
      </w:pPr>
      <w:r>
        <w:t xml:space="preserve">3. Scientific Expertise &amp; Background</w:t>
      </w:r>
    </w:p>
    <w:p>
      <w:pPr>
        <w:spacing w:after="200"/>
      </w:pPr>
      <w:r>
        <w:t xml:space="preserve">Dr. Pinto holds a PhD in Computational Neuroscience from Stanford and completed postdoctoral training at MIT in neuroinformatics and neural circuit mapping. His academic background is rooted in systems neuroscience, integrating electrophysiology, behavioral analysis, and computational modeling. He has published extensively on neural circuits underlying cognition and decision-making. His transition to biotech leveraged his expertise in data integration and machine learning applied to neuroscience—precisely the skill set required for precision medicine in psychiatry. He has worked in earlier-stage biotech companies and has collaborated with leading academic centers, including Vanderbilt, where he maintains relationships. His fluency in both neuroscience and data science positions him uniquely to translate computational insights into clinical utility.</w:t>
      </w:r>
    </w:p>
    <w:p>
      <w:pPr>
        <w:spacing w:after="100"/>
      </w:pPr>
      <w:r>
        <w:t xml:space="preserve">Core Competencies:</w:t>
      </w:r>
    </w:p>
    <w:p>
      <w:pPr>
        <w:pStyle w:val="ListParagraph"/>
        <w:numPr>
          <w:ilvl w:val="0"/>
          <w:numId w:val="1"/>
        </w:numPr>
        <w:spacing w:after="80"/>
      </w:pPr>
      <w:r>
        <w:t xml:space="preserve">Systems neuroscience and neural circuit mapping in cognition and behavior</w:t>
      </w:r>
    </w:p>
    <w:p>
      <w:pPr>
        <w:pStyle w:val="ListParagraph"/>
        <w:numPr>
          <w:ilvl w:val="0"/>
          <w:numId w:val="1"/>
        </w:numPr>
        <w:spacing w:after="80"/>
      </w:pPr>
      <w:r>
        <w:t xml:space="preserve">Computational modeling and machine learning in neuroscience data integration</w:t>
      </w:r>
    </w:p>
    <w:p>
      <w:pPr>
        <w:pStyle w:val="ListParagraph"/>
        <w:numPr>
          <w:ilvl w:val="0"/>
          <w:numId w:val="1"/>
        </w:numPr>
        <w:spacing w:after="80"/>
      </w:pPr>
      <w:r>
        <w:t xml:space="preserve">Precision medicine platform development and biomarker integration</w:t>
      </w:r>
    </w:p>
    <w:p>
      <w:pPr>
        <w:pStyle w:val="ListParagraph"/>
        <w:numPr>
          <w:ilvl w:val="0"/>
          <w:numId w:val="1"/>
        </w:numPr>
        <w:spacing w:after="400"/>
      </w:pPr>
      <w:r>
        <w:t xml:space="preserve">M4 muscarinic pharmacology and psychiatric disease mechanisms</w:t>
      </w:r>
    </w:p>
    <w:p>
      <w:pPr>
        <w:spacing w:after="200"/>
      </w:pPr>
      <w:r>
        <w:t xml:space="preserve">4. Key Challenges &amp; Pain Points</w:t>
      </w:r>
    </w:p>
    <w:p>
      <w:pPr>
        <w:spacing w:after="200"/>
      </w:pPr>
      <w:r>
        <w:t xml:space="preserve">Neumora faces the profound challenge of validating a complex precision medicine platform in a competitive schizophrenia market. M4 PAM mechanisms are not new—academic research has long supported M4's role in cortical circuits and cognition—but translating this into a successful drug with clinically actionable biomarkers is exceptionally difficult. Regulatory expectations for biomarker-driven development are stringent; the FDA will demand evidence that the Precision Toolbox actually predicts responders and enables patient selection. Patient recruitment for schizophrenia trials is notoriously difficult; layering in complex biomarker collection (imaging, EEG, genomics) adds operational burden. Competitive threats from larger pharma (J&amp;J, Eli Lilly, Roche) with established schizophrenia platforms and deeper pockets are real. The Amgen partnership, while valuable, also creates dependency and constraints. Digital phenotyping and real-world data integration are nascent; proving clinical utility requires longitudinal validation.</w:t>
      </w:r>
    </w:p>
    <w:p>
      <w:pPr>
        <w:spacing w:after="100"/>
      </w:pPr>
      <w:r>
        <w:t xml:space="preserve">Critical Pressure Points:</w:t>
      </w:r>
    </w:p>
    <w:p>
      <w:pPr>
        <w:pStyle w:val="ListParagraph"/>
        <w:numPr>
          <w:ilvl w:val="0"/>
          <w:numId w:val="1"/>
        </w:numPr>
        <w:spacing w:after="80"/>
      </w:pPr>
      <w:r>
        <w:t xml:space="preserve">Validating Precision Toolbox biomarkers in clinical schizophrenia populations</w:t>
      </w:r>
    </w:p>
    <w:p>
      <w:pPr>
        <w:pStyle w:val="ListParagraph"/>
        <w:numPr>
          <w:ilvl w:val="0"/>
          <w:numId w:val="1"/>
        </w:numPr>
        <w:spacing w:after="80"/>
      </w:pPr>
      <w:r>
        <w:t xml:space="preserve">Operationalizing complex multimodal data collection in clinical trial settings</w:t>
      </w:r>
    </w:p>
    <w:p>
      <w:pPr>
        <w:pStyle w:val="ListParagraph"/>
        <w:numPr>
          <w:ilvl w:val="0"/>
          <w:numId w:val="1"/>
        </w:numPr>
        <w:spacing w:after="80"/>
      </w:pPr>
      <w:r>
        <w:t xml:space="preserve">Patient recruitment and retention in biomarker-intensive schizophrenia trials</w:t>
      </w:r>
    </w:p>
    <w:p>
      <w:pPr>
        <w:pStyle w:val="ListParagraph"/>
        <w:numPr>
          <w:ilvl w:val="0"/>
          <w:numId w:val="1"/>
        </w:numPr>
        <w:spacing w:after="400"/>
      </w:pPr>
      <w:r>
        <w:t xml:space="preserve">Navigating regulatory expectations for precision medicine biomarker qualification</w:t>
      </w:r>
    </w:p>
    <w:p>
      <w:pPr>
        <w:spacing w:after="200"/>
      </w:pPr>
      <w:r>
        <w:t xml:space="preserve">5. Information Needs &amp; Data Preferences</w:t>
      </w:r>
    </w:p>
    <w:p>
      <w:pPr>
        <w:spacing w:after="200"/>
      </w:pPr>
      <w:r>
        <w:t xml:space="preserve">Dr. Pinto is voracious for data—mechanistic, clinical, regulatory, and competitive. He demands high-quality neuroimaging datasets, genomic association studies, EEG data from schizophrenia cohorts, and digital phenotyping outcomes. He seeks real-world evidence on treatment outcomes, antipsychotic response patterns, and biomarker prevalence in patient populations. He values regulatory feedback letters, biomarker qualification guidance documents, and FDA precedent for precision psychiatry. Competitive intelligence on M4 PAM programs, schizophrenia treatment landscapes, and broader precision medicine successes (oncology, cardiology) inform his strategy. He prioritizes health economics data, payer perspectives on biomarker-driven diagnostics, and health technology assessment methodologies. Academic collaboration opportunities and data-sharing partnerships are highly valued.</w:t>
      </w:r>
    </w:p>
    <w:p>
      <w:pPr>
        <w:spacing w:after="100"/>
      </w:pPr>
      <w:r>
        <w:t xml:space="preserve">Priority Information Sources:</w:t>
      </w:r>
    </w:p>
    <w:p>
      <w:pPr>
        <w:pStyle w:val="ListParagraph"/>
        <w:numPr>
          <w:ilvl w:val="0"/>
          <w:numId w:val="1"/>
        </w:numPr>
        <w:spacing w:after="80"/>
      </w:pPr>
      <w:r>
        <w:t xml:space="preserve">High-quality neuroimaging, genomic, and EEG datasets for schizophrenia populations</w:t>
      </w:r>
    </w:p>
    <w:p>
      <w:pPr>
        <w:pStyle w:val="ListParagraph"/>
        <w:numPr>
          <w:ilvl w:val="0"/>
          <w:numId w:val="1"/>
        </w:numPr>
        <w:spacing w:after="80"/>
      </w:pPr>
      <w:r>
        <w:t xml:space="preserve">Real-world treatment outcomes and antipsychotic response biomarkers</w:t>
      </w:r>
    </w:p>
    <w:p>
      <w:pPr>
        <w:pStyle w:val="ListParagraph"/>
        <w:numPr>
          <w:ilvl w:val="0"/>
          <w:numId w:val="1"/>
        </w:numPr>
        <w:spacing w:after="80"/>
      </w:pPr>
      <w:r>
        <w:t xml:space="preserve">FDA biomarker qualification guidance and precision medicine regulatory precedent</w:t>
      </w:r>
    </w:p>
    <w:p>
      <w:pPr>
        <w:pStyle w:val="ListParagraph"/>
        <w:numPr>
          <w:ilvl w:val="0"/>
          <w:numId w:val="1"/>
        </w:numPr>
        <w:spacing w:after="400"/>
      </w:pPr>
      <w:r>
        <w:t xml:space="preserve">Health economics and payer perspectives on precision psychiatric diagnostics</w:t>
      </w:r>
    </w:p>
    <w:p>
      <w:pPr>
        <w:spacing w:after="200"/>
      </w:pPr>
      <w:r>
        <w:t xml:space="preserve">6. Market Understanding &amp; Industry Perspective</w:t>
      </w:r>
    </w:p>
    <w:p>
      <w:pPr>
        <w:spacing w:after="200"/>
      </w:pPr>
      <w:r>
        <w:t xml:space="preserve">Dr. Pinto views the schizophrenia market as paradoxical: large market size (2M+ patients in US) yet fragmented by treatment heterogeneity and low precision. Current antipsychotics are nonspecific dopamine antagonists with variable efficacy and tolerability; many patients remain symptomatic or intolerant. He sees precision psychiatry as an emerging paradigm enabled by advances in neuroimaging, genomics, and digital technologies. The success of oncology precision medicine (tumor genotyping, companion diagnostics) is driving psychiatric interest; he believes psychiatry is several years behind but catching up rapidly. The Amgen partnership signals institutional validation of precision psychiatry approaches. Payer attitudes are evolving; initial resistance to biomarker-driven strategies is giving way to receptiveness if clinical utility and cost-effectiveness are demonstrated. He anticipates consolidation in neuropsychiatry biotech, with precision-enabled platforms commanding premium valuations.</w:t>
      </w:r>
    </w:p>
    <w:p>
      <w:pPr>
        <w:spacing w:after="100"/>
      </w:pPr>
      <w:r>
        <w:t xml:space="preserve">Market Observations:</w:t>
      </w:r>
    </w:p>
    <w:p>
      <w:pPr>
        <w:pStyle w:val="ListParagraph"/>
        <w:numPr>
          <w:ilvl w:val="0"/>
          <w:numId w:val="1"/>
        </w:numPr>
        <w:spacing w:after="80"/>
      </w:pPr>
      <w:r>
        <w:t xml:space="preserve">Schizophrenia treatment remains imprecise despite large market; precision approaches are nascent</w:t>
      </w:r>
    </w:p>
    <w:p>
      <w:pPr>
        <w:pStyle w:val="ListParagraph"/>
        <w:numPr>
          <w:ilvl w:val="0"/>
          <w:numId w:val="1"/>
        </w:numPr>
        <w:spacing w:after="80"/>
      </w:pPr>
      <w:r>
        <w:t xml:space="preserve">Oncology precision medicine precedent is driving psychiatric biomarker acceptance</w:t>
      </w:r>
    </w:p>
    <w:p>
      <w:pPr>
        <w:pStyle w:val="ListParagraph"/>
        <w:numPr>
          <w:ilvl w:val="0"/>
          <w:numId w:val="1"/>
        </w:numPr>
        <w:spacing w:after="80"/>
      </w:pPr>
      <w:r>
        <w:t xml:space="preserve">Digital health and real-world data are enabling new precision phenotyping opportunities</w:t>
      </w:r>
    </w:p>
    <w:p>
      <w:pPr>
        <w:pStyle w:val="ListParagraph"/>
        <w:numPr>
          <w:ilvl w:val="0"/>
          <w:numId w:val="1"/>
        </w:numPr>
        <w:spacing w:after="400"/>
      </w:pPr>
      <w:r>
        <w:t xml:space="preserve">Pharma partnerships (Amgen) validate precision psychiatry approach and provide commercial scale</w:t>
      </w:r>
    </w:p>
    <w:p>
      <w:pPr>
        <w:spacing w:after="200"/>
      </w:pPr>
      <w:r>
        <w:t xml:space="preserve">7. Decision-Making Style &amp; Preferred Communication</w:t>
      </w:r>
    </w:p>
    <w:p>
      <w:pPr>
        <w:spacing w:after="200"/>
      </w:pPr>
      <w:r>
        <w:t xml:space="preserve">Dr. Pinto is quantitative, evidence-based, and intellectually rigorous. He values data over narrative and demands hypothesis-driven thinking. He is comfortable with complexity and embraces systems-level thinking. He prefers detailed technical discussions grounded in mechanistic understanding; superficial marketing language does not resonate. He is collaborative but will challenge assumptions and demand evidence for claims. He is accessible and enjoys engaging with scientists, clinicians, and data analysts. Decisions are made methodically, weighing multiple data streams and considering long-term platform implications. He is willing to take calculated risks on novel approaches if data supports them. Communication should be technical, precise, and data-rich; he will quickly identify and dismiss handwaving or oversimplification.</w:t>
      </w:r>
    </w:p>
    <w:p>
      <w:pPr>
        <w:spacing w:after="100"/>
      </w:pPr>
      <w:r>
        <w:t xml:space="preserve">Communication Preferences:</w:t>
      </w:r>
    </w:p>
    <w:p>
      <w:pPr>
        <w:pStyle w:val="ListParagraph"/>
        <w:numPr>
          <w:ilvl w:val="0"/>
          <w:numId w:val="1"/>
        </w:numPr>
        <w:spacing w:after="80"/>
      </w:pPr>
      <w:r>
        <w:t xml:space="preserve">Technical, data-rich discussions grounded in mechanistic understanding</w:t>
      </w:r>
    </w:p>
    <w:p>
      <w:pPr>
        <w:pStyle w:val="ListParagraph"/>
        <w:numPr>
          <w:ilvl w:val="0"/>
          <w:numId w:val="1"/>
        </w:numPr>
        <w:spacing w:after="80"/>
      </w:pPr>
      <w:r>
        <w:t xml:space="preserve">Quantitative summaries with statistical rigor and uncertainty quantification</w:t>
      </w:r>
    </w:p>
    <w:p>
      <w:pPr>
        <w:pStyle w:val="ListParagraph"/>
        <w:numPr>
          <w:ilvl w:val="0"/>
          <w:numId w:val="1"/>
        </w:numPr>
        <w:spacing w:after="80"/>
      </w:pPr>
      <w:r>
        <w:t xml:space="preserve">Hypothesis-driven analysis and experimental design discussions</w:t>
      </w:r>
    </w:p>
    <w:p>
      <w:pPr>
        <w:pStyle w:val="ListParagraph"/>
        <w:numPr>
          <w:ilvl w:val="0"/>
          <w:numId w:val="1"/>
        </w:numPr>
        <w:spacing w:after="400"/>
      </w:pPr>
      <w:r>
        <w:t xml:space="preserve">Systems-level thinking and integration of multimodal data perspectives</w:t>
      </w:r>
    </w:p>
    <w:p>
      <w:pPr>
        <w:spacing w:after="200"/>
      </w:pPr>
      <w:r>
        <w:t xml:space="preserve">8. Success Metrics &amp; KPIs</w:t>
      </w:r>
    </w:p>
    <w:p>
      <w:pPr>
        <w:spacing w:after="200"/>
      </w:pPr>
      <w:r>
        <w:t xml:space="preserve">Dr. Pinto tracks multiple tiers of KPIs: biomarker validation (correlation of Data Biopsy Signatures with treatment response, predictive power in independent cohorts), clinical trial progress (NMRA-861/898 Phase 1b/2 enrollment and interim data readouts), regulatory engagement outcomes (FDA feedback on biomarker qualification pathways), and partnership metrics (Amgen collaboration milestones, Vanderbilt license advancement). He monitors computational platform metrics: data integration quality, machine learning model accuracy and generalization, and digital phenotyping signal quality. Downstream metrics include NMRA-266 IND advancement, patent portfolio breadth, and publication rate. Ultimately, success is measured by Phase 2 efficacy data demonstrating biomarker-driven patient stratification, regulatory precedent for precision psychiatry pathways, and Neumora's establishment as the precision neuropsychiatry platform leader.</w:t>
      </w:r>
    </w:p>
    <w:p>
      <w:pPr>
        <w:spacing w:after="100"/>
      </w:pPr>
      <w:r>
        <w:t xml:space="preserve">Key Performance Indicators:</w:t>
      </w:r>
    </w:p>
    <w:p>
      <w:pPr>
        <w:pStyle w:val="ListParagraph"/>
        <w:numPr>
          <w:ilvl w:val="0"/>
          <w:numId w:val="1"/>
        </w:numPr>
        <w:spacing w:after="80"/>
      </w:pPr>
      <w:r>
        <w:t xml:space="preserve">Biomarker validation: predictive power and correlation with treatment response</w:t>
      </w:r>
    </w:p>
    <w:p>
      <w:pPr>
        <w:pStyle w:val="ListParagraph"/>
        <w:numPr>
          <w:ilvl w:val="0"/>
          <w:numId w:val="1"/>
        </w:numPr>
        <w:spacing w:after="80"/>
      </w:pPr>
      <w:r>
        <w:t xml:space="preserve">Clinical trial progress: enrollment velocity and Phase 1b/2 interim readouts</w:t>
      </w:r>
    </w:p>
    <w:p>
      <w:pPr>
        <w:pStyle w:val="ListParagraph"/>
        <w:numPr>
          <w:ilvl w:val="0"/>
          <w:numId w:val="1"/>
        </w:numPr>
        <w:spacing w:after="80"/>
      </w:pPr>
      <w:r>
        <w:t xml:space="preserve">Regulatory engagement: FDA feedback incorporation and biomarker pathway clarification</w:t>
      </w:r>
    </w:p>
    <w:p>
      <w:pPr>
        <w:pStyle w:val="ListParagraph"/>
        <w:numPr>
          <w:ilvl w:val="0"/>
          <w:numId w:val="1"/>
        </w:numPr>
        <w:spacing w:after="400"/>
      </w:pPr>
      <w:r>
        <w:t xml:space="preserve">Partnership advancement: Amgen milestones and Vanderbilt license expansion</w:t>
      </w:r>
    </w:p>
    <w:p>
      <w:pPr>
        <w:spacing w:after="200"/>
      </w:pPr>
      <w:r>
        <w:t xml:space="preserve">9. Organizational Relationships &amp; Ecosystem</w:t>
      </w:r>
    </w:p>
    <w:p>
      <w:pPr>
        <w:spacing w:after="200"/>
      </w:pPr>
      <w:r>
        <w:t xml:space="preserve">Dr. Pinto works closely with Neumora's CEO, Chief Data Officer, CMO, and regulatory affairs leadership. He maintains active relationships with academic collaborators at Vanderbilt, Stanford, and other leading neuroscience centers. The Amgen partnership represents his highest-priority external relationship; regular governance meetings ensure alignment and maximize value from the collaboration. He engages with key opinion leaders in schizophrenia, computational neuroscience, and precision psychiatry. He collaborates with digital health platforms and EEG/imaging vendors to operationalize biomarker collection. Patient advocacy groups (NAMI, Schizophrenia and Psychosis Action Alliance) provide patient input and real-world outcome insights. He networks with biotech investors, pharma leaders, and academic medical centers to position Neumora as the precision psychiatry thought leader.</w:t>
      </w:r>
    </w:p>
    <w:p>
      <w:pPr>
        <w:spacing w:after="100"/>
      </w:pPr>
      <w:r>
        <w:t xml:space="preserve">Key Stakeholder Groups:</w:t>
      </w:r>
    </w:p>
    <w:p>
      <w:pPr>
        <w:pStyle w:val="ListParagraph"/>
        <w:numPr>
          <w:ilvl w:val="0"/>
          <w:numId w:val="1"/>
        </w:numPr>
        <w:spacing w:after="80"/>
      </w:pPr>
      <w:r>
        <w:t xml:space="preserve">Internal: CEO, CDO, CMO, Regulatory Affairs, R&amp;D, Clinical Development teams</w:t>
      </w:r>
    </w:p>
    <w:p>
      <w:pPr>
        <w:pStyle w:val="ListParagraph"/>
        <w:numPr>
          <w:ilvl w:val="0"/>
          <w:numId w:val="1"/>
        </w:numPr>
        <w:spacing w:after="80"/>
      </w:pPr>
      <w:r>
        <w:t xml:space="preserve">Academic: Vanderbilt (license partner), Stanford, leading neuroscience centers</w:t>
      </w:r>
    </w:p>
    <w:p>
      <w:pPr>
        <w:pStyle w:val="ListParagraph"/>
        <w:numPr>
          <w:ilvl w:val="0"/>
          <w:numId w:val="1"/>
        </w:numPr>
        <w:spacing w:after="80"/>
      </w:pPr>
      <w:r>
        <w:t xml:space="preserve">Strategic: Amgen partnership team, digital health vendors, EEG/imaging partners</w:t>
      </w:r>
    </w:p>
    <w:p>
      <w:pPr>
        <w:pStyle w:val="ListParagraph"/>
        <w:numPr>
          <w:ilvl w:val="0"/>
          <w:numId w:val="1"/>
        </w:numPr>
        <w:spacing w:after="400"/>
      </w:pPr>
      <w:r>
        <w:t xml:space="preserve">Community: KOLs, patient advocacy groups, regulatory agencies (FDA/EMA)</w:t>
      </w:r>
    </w:p>
    <w:p>
      <w:pPr>
        <w:spacing w:after="200"/>
      </w:pPr>
      <w:r>
        <w:t xml:space="preserve">10. Competitive Intelligence &amp; Awareness</w:t>
      </w:r>
    </w:p>
    <w:p>
      <w:pPr>
        <w:spacing w:after="200"/>
      </w:pPr>
      <w:r>
        <w:t xml:space="preserve">Dr. Pinto maintains detailed competitive files on M4 PAM programs (Neumora's NMRA-861/898 versus others), schizophrenia treatment landscapes, and broader precision psychiatry initiatives. He tracks FDA regulatory feedback on psychiatric biomarker pathways and precision medicine designations. He monitors academic publications on schizophrenia biomarkers, digital phenotyping, and treatment response prediction. He is aware of competing computational psychiatry platforms and digital mental health solutions. He follows larger pharma entries into precision psychiatry (J&amp;J, Eli Lilly, Roche initiatives). He understands patent landscapes for M4 PAM mechanisms and biomarker methodologies. Competitive intelligence informs portfolio prioritization, partnership strategy, and regulatory positioning. Quarterly competitive analyses are presented to the Board and inform long-term strategic planning.</w:t>
      </w:r>
    </w:p>
    <w:p>
      <w:pPr>
        <w:spacing w:after="100"/>
      </w:pPr>
      <w:r>
        <w:t xml:space="preserve">Competitive Monitoring Focus:</w:t>
      </w:r>
    </w:p>
    <w:p>
      <w:pPr>
        <w:pStyle w:val="ListParagraph"/>
        <w:numPr>
          <w:ilvl w:val="0"/>
          <w:numId w:val="1"/>
        </w:numPr>
        <w:spacing w:after="80"/>
      </w:pPr>
      <w:r>
        <w:t xml:space="preserve">M4 PAM program landscape and clinical trial progress</w:t>
      </w:r>
    </w:p>
    <w:p>
      <w:pPr>
        <w:pStyle w:val="ListParagraph"/>
        <w:numPr>
          <w:ilvl w:val="0"/>
          <w:numId w:val="1"/>
        </w:numPr>
        <w:spacing w:after="80"/>
      </w:pPr>
      <w:r>
        <w:t xml:space="preserve">FDA regulatory feedback and biomarker qualification pathways</w:t>
      </w:r>
    </w:p>
    <w:p>
      <w:pPr>
        <w:pStyle w:val="ListParagraph"/>
        <w:numPr>
          <w:ilvl w:val="0"/>
          <w:numId w:val="1"/>
        </w:numPr>
        <w:spacing w:after="80"/>
      </w:pPr>
      <w:r>
        <w:t xml:space="preserve">Academic biomarker publications and computational psychiatry advances</w:t>
      </w:r>
    </w:p>
    <w:p>
      <w:pPr>
        <w:pStyle w:val="ListParagraph"/>
        <w:numPr>
          <w:ilvl w:val="0"/>
          <w:numId w:val="1"/>
        </w:numPr>
        <w:spacing w:after="400"/>
      </w:pPr>
      <w:r>
        <w:t xml:space="preserve">Pharma precision psychiatry initiatives and digital mental health solutions</w:t>
      </w:r>
    </w:p>
    <w:p>
      <w:pPr>
        <w:spacing w:after="200"/>
      </w:pPr>
      <w:r>
        <w:t xml:space="preserve">11. Long-Term Vision &amp; Legacy</w:t>
      </w:r>
    </w:p>
    <w:p>
      <w:pPr>
        <w:spacing w:after="200"/>
      </w:pPr>
      <w:r>
        <w:t xml:space="preserve">Dr. Pinto envisions Neumora as the global leader in precision neuropsychiatry—a company that has fundamentally transformed psychiatric treatment from symptomatic management to mechanism-driven, biomarker-guided therapy. He sees a future where the Precision Toolbox becomes the gold standard platform for schizophrenia patient stratification, used by clinicians worldwide to predict treatment response and guide therapy selection. Long-term, he aspires for Neumora to expand precision approaches beyond schizophrenia to depression, bipolar disorder, autism spectrum disorder, and other neuropsychiatric conditions. He hopes his work will catalyze a broader paradigm shift in psychiatry toward data-driven, mechanistic precision medicine. Personally, he seeks to mentor computational neuroscientists transitioning to biotech and to be recognized as a pioneer in translating systems neuroscience into clinical utility.</w:t>
      </w:r>
    </w:p>
    <w:p>
      <w:pPr>
        <w:spacing w:after="100"/>
      </w:pPr>
      <w:r>
        <w:t xml:space="preserve">Aspirational Goals:</w:t>
      </w:r>
    </w:p>
    <w:p>
      <w:pPr>
        <w:pStyle w:val="ListParagraph"/>
        <w:numPr>
          <w:ilvl w:val="0"/>
          <w:numId w:val="1"/>
        </w:numPr>
        <w:spacing w:after="80"/>
      </w:pPr>
      <w:r>
        <w:t xml:space="preserve">Establish Neumora as the global precision neuropsychiatry platform leader</w:t>
      </w:r>
    </w:p>
    <w:p>
      <w:pPr>
        <w:pStyle w:val="ListParagraph"/>
        <w:numPr>
          <w:ilvl w:val="0"/>
          <w:numId w:val="1"/>
        </w:numPr>
        <w:spacing w:after="80"/>
      </w:pPr>
      <w:r>
        <w:t xml:space="preserve">Demonstrate clinical utility of Precision Toolbox in Phase 2 schizophrenia outcomes</w:t>
      </w:r>
    </w:p>
    <w:p>
      <w:pPr>
        <w:pStyle w:val="ListParagraph"/>
        <w:numPr>
          <w:ilvl w:val="0"/>
          <w:numId w:val="1"/>
        </w:numPr>
        <w:spacing w:after="80"/>
      </w:pPr>
      <w:r>
        <w:t xml:space="preserve">Enable biomarker-guided treatment selection in clinical practice</w:t>
      </w:r>
    </w:p>
    <w:p>
      <w:pPr>
        <w:pStyle w:val="ListParagraph"/>
        <w:numPr>
          <w:ilvl w:val="0"/>
          <w:numId w:val="1"/>
        </w:numPr>
        <w:spacing w:after="400"/>
      </w:pPr>
      <w:r>
        <w:t xml:space="preserve">Pioneer paradigm shift toward precision medicine in psychiatry</w:t>
      </w:r>
    </w:p>
    <w:p>
      <w:pPr>
        <w:spacing w:after="200"/>
      </w:pPr>
      <w:r>
        <w:t xml:space="preserve">12. Relevant Quotes &amp; Perspectives</w:t>
      </w:r>
    </w:p>
    <w:p>
      <w:pPr>
        <w:spacing w:after="200"/>
      </w:pPr>
      <w:r>
        <w:t xml:space="preserve">"Psychiatry has treated patients as homogeneous for decades. We now have the tools—neuroimaging, genomics, digital phenotyping—to understand heterogeneity at scale. Precision medicine is not aspirational; it is inevitable."</w:t>
      </w:r>
    </w:p>
    <w:p>
      <w:pPr>
        <w:spacing w:after="200"/>
      </w:pPr>
      <w:r>
        <w:t xml:space="preserve">"The Precision Toolbox is not a drug—it is a platform for understanding. Every patient is unique; our job is to enable clinicians to see that uniqueness and act on it."</w:t>
      </w:r>
    </w:p>
    <w:p>
      <w:pPr>
        <w:spacing w:after="200"/>
      </w:pPr>
      <w:r>
        <w:t xml:space="preserve">"M4 PAM is a mechanism with strong mechanistic support. But mechanism alone does not guarantee success. Success comes from understanding which patients benefit and why. That is where we are differentiated."</w:t>
      </w:r>
    </w:p>
    <w:p>
      <w:pPr>
        <w:spacing w:after="200"/>
      </w:pPr>
      <w:r>
        <w:t xml:space="preserve">"The Amgen partnership validates precision psychiatry at scale. Together, we have the opportunity to transform how the field thinks about antipsychotic development and patient selection."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2026-02-18T13:16:21.550Z</dcterms:created>
  <dcterms:modified xsi:type="dcterms:W3CDTF">2026-02-18T13:16:21.550Z</dcterms:modified>
</cp:coreProperties>
</file>

<file path=docProps/custom.xml><?xml version="1.0" encoding="utf-8"?>
<Properties xmlns="http://schemas.openxmlformats.org/officeDocument/2006/custom-properties" xmlns:vt="http://schemas.openxmlformats.org/officeDocument/2006/docPropsVTypes"/>
</file>