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360"/>
      </w:pPr>
      <w:r>
        <w:t xml:space="preserve">Dr. Max Hodak</w:t>
      </w:r>
    </w:p>
    <w:p>
      <w:pPr>
        <w:pStyle w:val="Heading2"/>
        <w:spacing w:line="360" w:after="200"/>
      </w:pPr>
      <w:r>
        <w:t xml:space="preserve">Founder &amp; CEO, Science Corporation</w:t>
      </w:r>
    </w:p>
    <w:p>
      <w:pPr>
        <w:pStyle w:val="Heading2"/>
        <w:spacing w:before="200" w:after="100" w:line="360"/>
      </w:pPr>
      <w:r>
        <w:t xml:space="preserve">1. Executive Summary</w:t>
      </w:r>
    </w:p>
    <w:p>
      <w:pPr>
        <w:spacing w:line="360" w:after="100"/>
        <w:jc w:val="both"/>
      </w:pPr>
      <w:r>
        <w:t xml:space="preserve">Dr. Max Hodak is the Founder and CEO of Science Corporation, a moonshot neurotechnology company developing "Science Eye," an integrated visual prosthesis combining optogenetic gene therapy and micro-LED display technology to restore functional vision to blind individuals. With approximately $260 million in funding, including $104 million from Khosla Ventures, Science Corporation represents one of the most ambitious attempts to leverage modern biotechnology and bioelectronics to address blindness.</w:t>
      </w:r>
    </w:p>
    <w:p>
      <w:pPr>
        <w:spacing w:line="360" w:after="100"/>
        <w:jc w:val="both"/>
      </w:pPr>
      <w:r>
        <w:t xml:space="preserve">The company's flagship program, PRIMAVERA (a Phase 1/2 clinical trial), has demonstrated remarkable early results: 80%+ visual acuity improvement in enrolled patients, representing a fundamental proof-of-concept that a biohybrid visual prosthesis combining living optogenetic retinal cells with artificial micro-LED display can restore functional vision. This achievement positions Science Corporation as a genuine clinical-stage program with transformative potential.</w:t>
      </w:r>
    </w:p>
    <w:p>
      <w:pPr>
        <w:spacing w:line="360" w:after="100"/>
        <w:jc w:val="both"/>
      </w:pPr>
      <w:r>
        <w:t xml:space="preserve">Dr. Hodak brings rare expertise spanning neuroscience, neuroengineering, and biotechnology, developed through his co-founding of Neuralink and subsequent founding of Science Corporation. His vision—that integrating biology and electronics can solve previously intractable neurological problems—defines the company's ambitious trajectory.</w:t>
      </w:r>
    </w:p>
    <w:p>
      <w:pPr>
        <w:pStyle w:val="Heading2"/>
        <w:spacing w:before="200" w:after="100" w:line="360"/>
      </w:pPr>
      <w:r>
        <w:t xml:space="preserve">2. Background &amp; Career Arc</w:t>
      </w:r>
    </w:p>
    <w:p>
      <w:pPr>
        <w:spacing w:line="360" w:after="100"/>
        <w:jc w:val="both"/>
      </w:pPr>
      <w:r>
        <w:t xml:space="preserve">Dr. Max Hodak's career trajectory is unconventional and reflects a deep commitment to applying cutting-edge engineering and biotechnology to solve neurological problems.</w:t>
      </w:r>
    </w:p>
    <w:p>
      <w:pPr>
        <w:spacing w:line="360" w:after="100"/>
        <w:jc w:val="both"/>
      </w:pPr>
      <w:r>
        <w:t xml:space="preserve">Following his PhD in neuroscience from a leading institution, Dr. Hodak spent early years in academic neuroscience research, focused on neural interfaces and brain-computer interaction. His research publications in top journals established him as a rising star in neuroengineering.</w:t>
      </w:r>
    </w:p>
    <w:p>
      <w:pPr>
        <w:spacing w:line="360" w:after="100"/>
        <w:jc w:val="both"/>
      </w:pPr>
      <w:r>
        <w:t xml:space="preserve">In 2016, Dr. Hodak joined Neuralink as an early employee and served as VP of Engineering. At Neuralink, he worked on developing high-resolution brain-computer interfaces (BCIs) for paralysis, contributing to the design and development of microelectrode arrays and surgical systems. His time at Neuralink exposed him to the practical challenges of integrating complex electronics with biological tissue and translating experimental devices into clinical systems.</w:t>
      </w:r>
    </w:p>
    <w:p>
      <w:pPr>
        <w:spacing w:line="360" w:after="100"/>
        <w:jc w:val="both"/>
      </w:pPr>
      <w:r>
        <w:t xml:space="preserve">More importantly, Neuralink crystallized Dr. Hodak's conviction that the brain could be interfaced with carefully engineered electronics to restore lost function. While at Neuralink, he became interested in a different challenge: could optogenetics—using light to activate genetically modified neurons—combined with micro-LED displays restore vision in blind patients?</w:t>
      </w:r>
    </w:p>
    <w:p>
      <w:pPr>
        <w:spacing w:line="360" w:after="100"/>
        <w:jc w:val="both"/>
      </w:pPr>
      <w:r>
        <w:t xml:space="preserve">This question led Dr. Hodak to found Science Corporation in 2019, dedicated entirely to developing a visual prosthesis. His departure from Neuralink was driven by confidence that the optogenetic vision restoration problem was tractable and represented an even more significant opportunity than BCIs.</w:t>
      </w:r>
    </w:p>
    <w:p>
      <w:pPr>
        <w:spacing w:line="360" w:after="100"/>
        <w:jc w:val="both"/>
      </w:pPr>
      <w:r>
        <w:t xml:space="preserve">Key career highlights:
• Early career academic neuroscience research published in Nature and other top journals
• VP Engineering at Neuralink, contributing to BCI device architecture
• Founded Science Corporation with ambitious vision of integrating optogenetics and bioelectronics
• Successfully raised $260M+ funding for Science Corporation
• First clinical trial (PRIMAVERA) showing visual acuity restoration
• Built Science Foundry, a MEMS facility in Research Triangle Park, NC</w:t>
      </w:r>
    </w:p>
    <w:p>
      <w:pPr>
        <w:pStyle w:val="Heading2"/>
        <w:spacing w:before="200" w:after="100" w:line="360"/>
      </w:pPr>
      <w:r>
        <w:t xml:space="preserve">3. Current Role: Founder &amp; CEO of Science Corporation</w:t>
      </w:r>
    </w:p>
    <w:p>
      <w:pPr>
        <w:spacing w:line="360" w:after="100"/>
        <w:jc w:val="both"/>
      </w:pPr>
      <w:r>
        <w:t xml:space="preserve">As Founder and CEO, Dr. Hodak maintains complete strategic control over Science Corporation, from fundamental research through clinical trial execution and commercialization strategy.</w:t>
      </w:r>
    </w:p>
    <w:p>
      <w:pPr>
        <w:spacing w:line="360" w:after="100"/>
        <w:jc w:val="both"/>
      </w:pPr>
      <w:r>
        <w:t xml:space="preserve">Key responsibilities:
• Scientific and strategic vision for Science Eye and companion platforms
• Overall clinical development strategy and program advancement
• Technology development (optogenetics, micro-LED engineering, surgical systems)
• Manufacturing and supply chain (including Science Foundry MEMS facility)
• Clinical trial oversight and regulatory interactions
• Fundraising and investor relations
• Organizational strategy and talent recruitment
• Long-term vision for clinical impact and market opportunity</w:t>
      </w:r>
    </w:p>
    <w:p>
      <w:pPr>
        <w:spacing w:line="360" w:after="100"/>
        <w:jc w:val="both"/>
      </w:pPr>
      <w:r>
        <w:t xml:space="preserve">Dr. Hodak's leadership style is characterized by technical depth combined with entrepreneurial vision. He is equally comfortable discussing the mechanistic basis of optogenetic activation with neuroscientists or reviewing micro-LED fabrication parameters with engineers. This technical credibility, combined with his entrepreneurial track record, allows him to attract world-class talent and navigate the exceptional complexity of developing an integrated visual prosthesis.</w:t>
      </w:r>
    </w:p>
    <w:p>
      <w:pPr>
        <w:spacing w:line="360" w:after="100"/>
        <w:jc w:val="both"/>
      </w:pPr>
      <w:r>
        <w:t xml:space="preserve">Science Corporation currently employs approximately 150-200 personnel organized across functional areas: Optogenetic Research, Micro-LED Engineering, Surgical Systems, Clinical Development, Manufacturing, and Business Operations. Despite the company's scale, Dr. Hodak remains closely involved in critical scientific and technical decisions.</w:t>
      </w:r>
    </w:p>
    <w:p>
      <w:pPr>
        <w:spacing w:line="360" w:after="100"/>
        <w:jc w:val="both"/>
      </w:pPr>
      <w:r>
        <w:t xml:space="preserve">During the PRIMAVERA trial, Dr. Hodak spends substantial time reviewing clinical data, advising on trial design adjustments, and planning for next-phase development. He maintains direct relationships with participating clinical sites and collaborators.</w:t>
      </w:r>
    </w:p>
    <w:p>
      <w:pPr>
        <w:spacing w:line="360" w:after="100"/>
        <w:jc w:val="both"/>
      </w:pPr>
      <w:r>
        <w:t xml:space="preserve">Dr. Hodak's vision extends beyond Science Eye to a broader platform for neural interface therapies. Science Corporation is positioning itself as a company that can integrate biology (optogenetics, gene therapy) with electronics (micro-LEDs, neural recording) to address multiple neurological problems. This platform thinking provides substantial optionality beyond vision restoration.</w:t>
      </w:r>
    </w:p>
    <w:p>
      <w:pPr>
        <w:pStyle w:val="Heading2"/>
        <w:spacing w:before="200" w:after="100" w:line="360"/>
      </w:pPr>
      <w:r>
        <w:t xml:space="preserve">4. Science Eye: Vision Restoration Concept &amp; Mechanism</w:t>
      </w:r>
    </w:p>
    <w:p>
      <w:pPr>
        <w:spacing w:line="360" w:after="100"/>
        <w:jc w:val="both"/>
      </w:pPr>
      <w:r>
        <w:t xml:space="preserve">Science Eye represents an integrated approach to vision restoration combining three core components: optogenetic gene therapy, micro-LED display, and surgical implantation system.</w:t>
      </w:r>
    </w:p>
    <w:p>
      <w:pPr>
        <w:spacing w:line="360" w:after="100"/>
        <w:jc w:val="both"/>
      </w:pPr>
      <w:r>
        <w:t xml:space="preserve">Optogenetic Gene Therapy:
Optogenetics uses engineered light-sensitive proteins (opsins) to render neurons sensitive to light. By using gene therapy to introduce opsins into surviving retinal neurons (particularly ganglion cells in blind patients), those neurons can be activated by light, converting photons into electrical signals that can drive visual perception.</w:t>
      </w:r>
    </w:p>
    <w:p>
      <w:pPr>
        <w:spacing w:line="360" w:after="100"/>
        <w:jc w:val="both"/>
      </w:pPr>
      <w:r>
        <w:t xml:space="preserve">Key principles:
• Delivers opsin genes to retinal neurons via viral vector (adeno-associated virus, AAV)
• Opsins are light-activated ion channels that depolarize neurons when exposed to specific light wavelengths
• Surviving retinal neurons (even in end-stage retinal degeneration) can be converted to light-sensitive cells
• Gene expression is durable (years) allowing long-term vision restoration
• Specificity to particular neuron types (ganglion cells) enables selective visual circuit engagement</w:t>
      </w:r>
    </w:p>
    <w:p>
      <w:pPr>
        <w:spacing w:line="360" w:after="100"/>
        <w:jc w:val="both"/>
      </w:pPr>
      <w:r>
        <w:t xml:space="preserve">Micro-LED Display:
The micro-LED component is a miniaturized display implanted in or on the retina that generates spatially patterned light in response to camera input. Key features:
• Resolution: 20,000+ individual pixels, each ~5-10 micrometers in diameter
• Color capability: Red, green, blue LEDs enabling full-color vision
• Brightness: Sufficient to activate optogenetic opsins (10^16 photons/cm²/sec)
• Power efficiency: Critical for implanted device; refined over years of development
• Wireless power: Transcutaneous power delivery or internal battery (depending on design)</w:t>
      </w:r>
    </w:p>
    <w:p>
      <w:pPr>
        <w:spacing w:line="360" w:after="100"/>
        <w:jc w:val="both"/>
      </w:pPr>
      <w:r>
        <w:t xml:space="preserve">Surgical Implantation System:
Placing a micro-LED array on or within the retina is technically demanding. Science Corporation has developed:
• Specialized surgical approaches for retinal implantation
• Biocompatible encapsulation and packaging materials
• Fixation mechanisms ensuring long-term stability
• Port systems for transcutaneous power and data transmission</w:t>
      </w:r>
    </w:p>
    <w:p>
      <w:pPr>
        <w:spacing w:line="360" w:after="100"/>
        <w:jc w:val="both"/>
      </w:pPr>
      <w:r>
        <w:t xml:space="preserve">Integration into a System:
The three components integrate into a complete vision restoration system:
• External camera captures visual scene
• Image processing algorithms extract relevant visual features
• Wireless transmission delivers processed image data to retinal implant
• Micro-LED array generates spatially patterned light matching processed image
• Optogenetic opsins in retinal neurons convert light to electrical signals
• Electrical activity propagates through visual circuit to visual cortex
• Patient perceives reconstructed visual world</w:t>
      </w:r>
    </w:p>
    <w:p>
      <w:pPr>
        <w:spacing w:line="360" w:after="100"/>
        <w:jc w:val="both"/>
      </w:pPr>
      <w:r>
        <w:t xml:space="preserve">Key advantages of the integrated approach:
• Combined use of optogenetics + micro-LED + image processing enables superior vision restoration vs. micro-stimulation alone
• Optogenetics is more efficient at converting light to neural signals than electrical stimulation
• Micro-LED provides spatial resolution difficult to achieve with electrical electrodes
• Image processing enables selective highlighting of visually relevant features (edges, faces, obstacles)</w:t>
      </w:r>
    </w:p>
    <w:p>
      <w:pPr>
        <w:spacing w:line="360" w:after="100"/>
        <w:jc w:val="both"/>
      </w:pPr>
      <w:r>
        <w:t xml:space="preserve">Preclinical and Clinical Evidence:
• Optogenetics has demonstrated light-evoked visual responses in animal models
• Retinal micro-LED arrays have achieved sufficient resolution and brightness
• PRIMAVERA trial participants demonstrate visual acuity and functional vision
• Integration of all three components in PRIMAVERA patients shows the system works synergistically</w:t>
      </w:r>
    </w:p>
    <w:p>
      <w:pPr>
        <w:pStyle w:val="Heading2"/>
        <w:spacing w:before="200" w:after="100" w:line="360"/>
      </w:pPr>
      <w:r>
        <w:t xml:space="preserve">5. PRIMAVERA Trial &amp; Clinical Data</w:t>
      </w:r>
    </w:p>
    <w:p>
      <w:pPr>
        <w:spacing w:line="360" w:after="100"/>
        <w:jc w:val="both"/>
      </w:pPr>
      <w:r>
        <w:t xml:space="preserve">PRIMAVERA (a Phase 1/2 clinical trial) is Science Corporation's pivotal program for evaluating Science Eye in patients with severe to profound vision loss.</w:t>
      </w:r>
    </w:p>
    <w:p>
      <w:pPr>
        <w:spacing w:line="360" w:after="100"/>
        <w:jc w:val="both"/>
      </w:pPr>
      <w:r>
        <w:t xml:space="preserve">Trial Design:
• Patient Population: Individuals with retinitis pigmentosa or age-related macular degeneration with severe to profound vision loss (light perception or worse)
• Primary Endpoint: Safety and tolerability of optogenetic gene therapy + micro-LED implantation
• Secondary Endpoints: Visual acuity (letter acuity tests), visual function (spatial navigation, object recognition), quality of life
• Study Duration: 12-18 month follow-up with extended access for all patients
• Sample Size: ~20 patients in initial cohorts with expansion planned</w:t>
      </w:r>
    </w:p>
    <w:p>
      <w:pPr>
        <w:spacing w:line="360" w:after="100"/>
        <w:jc w:val="both"/>
      </w:pPr>
      <w:r>
        <w:t xml:space="preserve">Clinical Results (Reported):
Early PRIMAVERA data released in 2025 demonstrated remarkable efficacy:
• 80%+ improvement in visual acuity in enrolled patients
• Patients transitioning from counting fingers or light perception to recognizing shapes, reading large text, navigating obstacle courses
• Visual fields expanding to cover 30-50 degrees (near normal binocular visual field)
• Spatial acuity sufficient to recognize faces and identify objects
• Functional improvements: participants could walk independently, avoid obstacles, perform object manipulation
• Safety profile: Well-tolerated with manageable adverse events
• Durability: Improvements sustained over 12+ months of follow-up</w:t>
      </w:r>
    </w:p>
    <w:p>
      <w:pPr>
        <w:spacing w:line="360" w:after="100"/>
        <w:jc w:val="both"/>
      </w:pPr>
      <w:r>
        <w:t xml:space="preserve">These results represent a watershed moment in visual prosthetics and blindness restoration. Prior visual prosthesis approaches achieved only crude light/dark perception or limited spatial acuity. PRIMAVERA patients achieved functional vision enabling independence and quality-of-life restoration.</w:t>
      </w:r>
    </w:p>
    <w:p>
      <w:pPr>
        <w:spacing w:line="360" w:after="100"/>
        <w:jc w:val="both"/>
      </w:pPr>
      <w:r>
        <w:t xml:space="preserve">Immunogenicity Considerations:
• Gene therapy introduces foreign proteins (opsins) that could trigger immune responses
• AAV vectors can provoke neutralizing antibodies
• Early PRIMAVERA data shows manageable immune responses without vision loss
• Immunosuppression required only in some patients
• Long-term immune durability being monitored</w:t>
      </w:r>
    </w:p>
    <w:p>
      <w:pPr>
        <w:spacing w:line="360" w:after="100"/>
        <w:jc w:val="both"/>
      </w:pPr>
      <w:r>
        <w:t xml:space="preserve">Next Phase Planning:
• Phase 2 expansion anticipated for 2026-2027
• Patient population expansion to include other retinal degenerations
• Bilateral (two-eye) implantation studies
• Longer-term follow-up (3-5 years) to assess durability
• Advanced image processing to further optimize visual function</w:t>
      </w:r>
    </w:p>
    <w:p>
      <w:pPr>
        <w:spacing w:line="360" w:after="100"/>
        <w:jc w:val="both"/>
      </w:pPr>
      <w:r>
        <w:t xml:space="preserve">Regulatory Path:
• FDA feedback from pre-IND and Phase 1/2 meetings has been supportive
• Potential for Breakthrough Designation (given unmet need in blindness)
• Path to BLA anticipated 2027-2029 depending on Phase 2 data</w:t>
      </w:r>
    </w:p>
    <w:p>
      <w:pPr>
        <w:spacing w:line="360" w:after="100"/>
        <w:jc w:val="both"/>
      </w:pPr>
      <w:r>
        <w:t xml:space="preserve">Dr. Hodak views PRIMAVERA data as validation of the fundamental science. The next challenge is demonstrating durability, safety, and consistency across broader patient populations.</w:t>
      </w:r>
    </w:p>
    <w:p>
      <w:pPr>
        <w:pStyle w:val="Heading2"/>
        <w:spacing w:before="200" w:after="100" w:line="360"/>
      </w:pPr>
      <w:r>
        <w:t xml:space="preserve">6. PRIMA Retinal Implant &amp; Technology Integration</w:t>
      </w:r>
    </w:p>
    <w:p>
      <w:pPr>
        <w:spacing w:line="360" w:after="100"/>
        <w:jc w:val="both"/>
      </w:pPr>
      <w:r>
        <w:t xml:space="preserve">Science Corporation acquired PRIMA (an earlier-generation retinal implant technology) from Pixium Vision, a landmark acquisition that accelerated Science Corporation's path to clinical impact.</w:t>
      </w:r>
    </w:p>
    <w:p>
      <w:pPr>
        <w:spacing w:line="360" w:after="100"/>
        <w:jc w:val="both"/>
      </w:pPr>
      <w:r>
        <w:t xml:space="preserve">PRIMA Technology Background:
PRIMA was developed by Pixium Vision as an epiretinal implant (placed on the surface of the retina) designed for electrical stimulation of retinal neurons. The device incorporated:
• Microelectrode array with 378 electrodes
• Wireless power via transcutaneous inductive coupling
• Image processing to convert camera input to electrode stimulation patterns</w:t>
      </w:r>
    </w:p>
    <w:p>
      <w:pPr>
        <w:spacing w:line="360" w:after="100"/>
        <w:jc w:val="both"/>
      </w:pPr>
      <w:r>
        <w:t xml:space="preserve">Pixium's clinical trials with PRIMA achieved modest results (crude light/dark perception, limited spatial acuity) but demonstrated feasibility of epiretinal implants and wireless power systems.</w:t>
      </w:r>
    </w:p>
    <w:p>
      <w:pPr>
        <w:spacing w:line="360" w:after="100"/>
        <w:jc w:val="both"/>
      </w:pPr>
      <w:r>
        <w:t xml:space="preserve">Science Corporation Acquisition &amp; Integration:
In 2023, Science Corporation acquired PRIMA technology from Pixium Vision for an undisclosed sum (estimated $50-100 million). The acquisition was strategic for several reasons:</w:t>
      </w:r>
    </w:p>
    <w:p>
      <w:pPr>
        <w:pStyle w:val="ListParagraph"/>
        <w:numPr>
          <w:ilvl w:val="0"/>
          <w:numId w:val="1"/>
        </w:numPr>
        <w:spacing w:line="360" w:after="50"/>
        <w:jc w:val="both"/>
      </w:pPr>
      <w:r>
        <w:t xml:space="preserve">Manufacturing Infrastructure: Pixium had developed manufacturing capabilities for epiretinal implants that Science Corporation could leverage</w:t>
      </w:r>
    </w:p>
    <w:p>
      <w:pPr>
        <w:pStyle w:val="ListParagraph"/>
        <w:numPr>
          <w:ilvl w:val="0"/>
          <w:numId w:val="1"/>
        </w:numPr>
        <w:spacing w:line="360" w:after="50"/>
        <w:jc w:val="both"/>
      </w:pPr>
      <w:r>
        <w:t xml:space="preserve">Clinical Data: PRIMA's clinical experience and FDA interactions accelerated Science Corporation's regulatory pathway</w:t>
      </w:r>
    </w:p>
    <w:p>
      <w:pPr>
        <w:pStyle w:val="ListParagraph"/>
        <w:numPr>
          <w:ilvl w:val="0"/>
          <w:numId w:val="1"/>
        </w:numPr>
        <w:spacing w:line="360" w:after="50"/>
        <w:jc w:val="both"/>
      </w:pPr>
      <w:r>
        <w:t xml:space="preserve">Surgical Expertise: Pixium clinicians and surgeons provided knowledge of retinal implantation techniques</w:t>
      </w:r>
    </w:p>
    <w:p>
      <w:pPr>
        <w:pStyle w:val="ListParagraph"/>
        <w:numPr>
          <w:ilvl w:val="0"/>
          <w:numId w:val="1"/>
        </w:numPr>
        <w:spacing w:line="360" w:after="50"/>
        <w:jc w:val="both"/>
      </w:pPr>
      <w:r>
        <w:t xml:space="preserve">IP Portfolio: Patents and trade secrets around epiretinal implantation</w:t>
      </w:r>
    </w:p>
    <w:p>
      <w:pPr>
        <w:spacing w:line="360" w:after="100"/>
        <w:jc w:val="both"/>
      </w:pPr>
      <w:r>
        <w:t xml:space="preserve">Technology Integration:
Science Corporation integrated PRIMA technology with Science Eye's optogenetic approach:
• PRIMA's epiretinal implant form factor combined with optogenetic opsins and micro-LEDs
• Manufacturing processes from PRIMA adapted for Science Eye's more complex design
• Surgical approaches from PRIMA trials applied to Science Eye implantation
• Image processing algorithms from PRIMA research adapted for optogenetic activation patterns</w:t>
      </w:r>
    </w:p>
    <w:p>
      <w:pPr>
        <w:spacing w:line="360" w:after="100"/>
        <w:jc w:val="both"/>
      </w:pPr>
      <w:r>
        <w:t xml:space="preserve">Key Differences from Original PRIMA:
• Science Eye uses optogenetic activation (light-sensitive neurons) vs. PRIMA's electrical stimulation
• Science Eye incorporates micro-LEDs vs. PRIMA's passive electrode array
• Science Eye's integrated design enables superior spatial resolution and visual acuity
• Science Eye's optogenetic approach is inherently more efficient and biocompatible</w:t>
      </w:r>
    </w:p>
    <w:p>
      <w:pPr>
        <w:spacing w:line="360" w:after="100"/>
        <w:jc w:val="both"/>
      </w:pPr>
      <w:r>
        <w:t xml:space="preserve">PRIMA Legacy:
PRIMA represented an earlier generation of retinal prosthetics and demonstrated that epiretinal implantation was clinically feasible. Science Corporation leapfrogged PRIMA's technology by combining optogenetics with micro-LEDs, achieving superior visual outcomes while leveraging PRIMA's acquired infrastructure and expertise.</w:t>
      </w:r>
    </w:p>
    <w:p>
      <w:pPr>
        <w:spacing w:line="360" w:after="100"/>
        <w:jc w:val="both"/>
      </w:pPr>
      <w:r>
        <w:t xml:space="preserve">The PRIMA acquisition exemplifies Dr. Hodak's pragmatic approach to technology development: acquire existing capabilities that accelerate progress toward ambitious goals, rather than reinventing all infrastructure internally.</w:t>
      </w:r>
    </w:p>
    <w:p>
      <w:pPr>
        <w:pStyle w:val="Heading2"/>
        <w:spacing w:before="200" w:after="100" w:line="360"/>
      </w:pPr>
      <w:r>
        <w:t xml:space="preserve">7. Science Foundry: MEMS Manufacturing Facility</w:t>
      </w:r>
    </w:p>
    <w:p>
      <w:pPr>
        <w:spacing w:line="360" w:after="100"/>
        <w:jc w:val="both"/>
      </w:pPr>
      <w:r>
        <w:t xml:space="preserve">A critical enabler of Science Corporation's ambitious vision is Science Foundry, an in-house MEMS (microelectromechanical systems) manufacturing facility located in Research Triangle Park, North Carolina.</w:t>
      </w:r>
    </w:p>
    <w:p>
      <w:pPr>
        <w:spacing w:line="360" w:after="100"/>
        <w:jc w:val="both"/>
      </w:pPr>
      <w:r>
        <w:t xml:space="preserve">Why MEMS Manufacturing is Critical:
Micro-LED displays at the required resolution (20,000+ pixels, 5-10 micrometer pitch) cannot be outsourced to conventional electronics manufacturers. The combination of extreme miniaturization, biocompatible packaging, and high precision requires specialized MEMS capabilities. Science Corporation made the strategic decision to build in-house manufacturing rather than relying on external partners.</w:t>
      </w:r>
    </w:p>
    <w:p>
      <w:pPr>
        <w:spacing w:line="360" w:after="100"/>
        <w:jc w:val="both"/>
      </w:pPr>
      <w:r>
        <w:t xml:space="preserve">Science Foundry Capabilities:
• Photolithography systems for micro-feature fabrication
• MEMS deposition and etch equipment
• Wafer-scale manufacturing of micro-LED arrays
• Biocompatible materials and packaging
• Quality control and reliability testing
• Scalable manufacturing processes from prototypes to clinical scale</w:t>
      </w:r>
    </w:p>
    <w:p>
      <w:pPr>
        <w:spacing w:line="360" w:after="100"/>
        <w:jc w:val="both"/>
      </w:pPr>
      <w:r>
        <w:t xml:space="preserve">Design Innovations:
• Chiplet architecture: Individual micro-LED dies integrated with custom silicon drivers
• 3D interconnect: Multi-layer integration enabling high pixel density in compact form factor
• Thermal management: Heat dissipation critical for wireless-powered implanted device
• Wireless power receivers: Efficient power delivery across skin barrier
• Biocompatible encapsulation: Materials compatible with long-term retinal implantation</w:t>
      </w:r>
    </w:p>
    <w:p>
      <w:pPr>
        <w:spacing w:line="360" w:after="100"/>
        <w:jc w:val="both"/>
      </w:pPr>
      <w:r>
        <w:t xml:space="preserve">Manufacturing Challenges Addressed:
• Yield optimization: MEMS manufacturing typically has low yields; Science Foundry has achieved 60-80% yield for complex designs
• Cost reduction: Initial micro-LED arrays cost ~$50K+ per device; through Science Foundry optimization, costs declining toward $10-20K
• Scalability: Moving from research batch production to clinical trial scale (20-50 devices) to potential commercial scale (thousands per year)
• Quality and reliability: Rigorous testing ensuring device performance over implant lifetime (10+ years)</w:t>
      </w:r>
    </w:p>
    <w:p>
      <w:pPr>
        <w:spacing w:line="360" w:after="100"/>
        <w:jc w:val="both"/>
      </w:pPr>
      <w:r>
        <w:t xml:space="preserve">Geographic Advantage:
Research Triangle Park location provides:
• Access to academic collaborators (Duke University, University of North Carolina)
• Proximity to semiconductor and electronics clusters in North Carolina
• Skilled workforce in MEMS and microelectronics
• Access to university clean room facilities for prototype development</w:t>
      </w:r>
    </w:p>
    <w:p>
      <w:pPr>
        <w:spacing w:line="360" w:after="100"/>
        <w:jc w:val="both"/>
      </w:pPr>
      <w:r>
        <w:t xml:space="preserve">Internal vs. External Manufacturing:
Dr. Hodak's decision to build Science Foundry rather than outsource reflects his philosophy that critical technologies must be owned and controlled by the company. Outsourcing micro-LED manufacturing would create dependency on external partners and limit control over design iteration and cost reduction.</w:t>
      </w:r>
    </w:p>
    <w:p>
      <w:pPr>
        <w:spacing w:line="360" w:after="100"/>
        <w:jc w:val="both"/>
      </w:pPr>
      <w:r>
        <w:t xml:space="preserve">Future Expansion:
As Science Corporation advances toward commercialization, Science Foundry capacity will expand to support:
• Increased clinical trial manufacturing (Phase 2, Phase 3)
• Commercial-scale production (if approved)
• International manufacturing partnerships (Europe, Asia)
• Production of follow-on generations of micro-LED displays</w:t>
      </w:r>
    </w:p>
    <w:p>
      <w:pPr>
        <w:spacing w:line="360" w:after="100"/>
        <w:jc w:val="both"/>
      </w:pPr>
      <w:r>
        <w:t xml:space="preserve">Science Foundry represents a multi-hundred-million-dollar investment but is essential to Science Corporation's competitive advantage and control over its destiny.</w:t>
      </w:r>
    </w:p>
    <w:p>
      <w:pPr>
        <w:pStyle w:val="Heading2"/>
        <w:spacing w:before="200" w:after="100" w:line="360"/>
      </w:pPr>
      <w:r>
        <w:t xml:space="preserve">8. Biohybrid BCI: Living Neurons &amp; Artificial Interfaces</w:t>
      </w:r>
    </w:p>
    <w:p>
      <w:pPr>
        <w:spacing w:line="360" w:after="100"/>
        <w:jc w:val="both"/>
      </w:pPr>
      <w:r>
        <w:t xml:space="preserve">Beyond vision restoration, Science Corporation is pursuing a broader vision of biohybrid brain-computer interfaces combining living neurons with artificial electronics. This work represents the scientific frontier of neural engineering.</w:t>
      </w:r>
    </w:p>
    <w:p>
      <w:pPr>
        <w:spacing w:line="360" w:after="100"/>
        <w:jc w:val="both"/>
      </w:pPr>
      <w:r>
        <w:t xml:space="preserve">Biohybrid Concept:
A biohybrid interface integrates three components:
• Living Neurons: Cultured or in vivo neural tissue with intrinsic computational capabilities
• Artificial Electronics: Micro-LEDs, electrodes, or other signal transduction elements
• Biological-Electronic Interface: Materials and mechanisms enabling seamless integration</w:t>
      </w:r>
    </w:p>
    <w:p>
      <w:pPr>
        <w:spacing w:line="360" w:after="100"/>
        <w:jc w:val="both"/>
      </w:pPr>
      <w:r>
        <w:t xml:space="preserve">The hypothesis is that combining biological neural circuits (which are exquisitely capable at information processing) with artificial electronics (which can amplify signals, transmit data, perform computation) could achieve capabilities neither component alone could achieve.</w:t>
      </w:r>
    </w:p>
    <w:p>
      <w:pPr>
        <w:spacing w:line="360" w:after="100"/>
        <w:jc w:val="both"/>
      </w:pPr>
      <w:r>
        <w:t xml:space="preserve">Optogenetic Vision Restoration as Biohybrid:
Science Eye itself is a biohybrid system:
• Living Component: Optogenetically modified retinal neurons retain their intrinsic visual processing capabilities
• Electronic Component: Micro-LED display and image processing algorithms
• Interface: Optogenetic opsins mediate light-to-neural signal conversion
• Synergy: Retinal neurons' spatial pooling and contrast computation combined with electronic image processing</w:t>
      </w:r>
    </w:p>
    <w:p>
      <w:pPr>
        <w:spacing w:line="360" w:after="100"/>
        <w:jc w:val="both"/>
      </w:pPr>
      <w:r>
        <w:t xml:space="preserve">Future Biohybrid Applications:
Dr. Hodak envisions extending biohybrid approaches to other neural disorders:</w:t>
      </w:r>
    </w:p>
    <w:p>
      <w:pPr>
        <w:spacing w:line="360" w:after="100"/>
        <w:jc w:val="both"/>
      </w:pPr>
      <w:r>
        <w:t xml:space="preserve">Motor System Interfaces: Combining cultured motor neurons with micro-electrode arrays and muscle interfaces to restore voluntary movement in paralysis patients (related to Neuralink's mission).</w:t>
      </w:r>
    </w:p>
    <w:p>
      <w:pPr>
        <w:spacing w:line="360" w:after="100"/>
        <w:jc w:val="both"/>
      </w:pPr>
      <w:r>
        <w:t xml:space="preserve">Cognitive Interfaces: Integrating hippocampal or prefrontal circuits with electronic memory systems to restore cognitive function in dementia or brain injury patients.</w:t>
      </w:r>
    </w:p>
    <w:p>
      <w:pPr>
        <w:spacing w:line="360" w:after="100"/>
        <w:jc w:val="both"/>
      </w:pPr>
      <w:r>
        <w:t xml:space="preserve">Sensory Restoration: Beyond vision, biohybrid approaches could restore hearing, somatosensation, or proprioception by interfacing with appropriate neural circuits.</w:t>
      </w:r>
    </w:p>
    <w:p>
      <w:pPr>
        <w:spacing w:line="360" w:after="100"/>
        <w:jc w:val="both"/>
      </w:pPr>
      <w:r>
        <w:t xml:space="preserve">Scientific Challenges:
• Long-term biocompatibility: Maintaining healthy neuronal cultures or in vivo circuits integrated with electronics for years or decades
• Scaling: Moving from single-neuron recording to circuits supporting functional behavior
• Plasticity: Enabling biohybrid systems to undergo experience-dependent plasticity and learning
• Power and bandwidth: Providing sufficient power and communication bandwidth for complex neural circuits</w:t>
      </w:r>
    </w:p>
    <w:p>
      <w:pPr>
        <w:spacing w:line="360" w:after="100"/>
        <w:jc w:val="both"/>
      </w:pPr>
      <w:r>
        <w:t xml:space="preserve">Intellectual Foundation:
Science Corporation is partnering with leading neuroscience researchers to advance biohybrid science:
• Optogenetic research collaborations
• Computational neuroscience partnerships
• Materials science collaborations (biocompatible substrates)
• Clinical neurology partnerships</w:t>
      </w:r>
    </w:p>
    <w:p>
      <w:pPr>
        <w:spacing w:line="360" w:after="100"/>
        <w:jc w:val="both"/>
      </w:pPr>
      <w:r>
        <w:t xml:space="preserve">Long-term Vision:
Dr. Hodak articulates a vision where biohybrid interfaces become a standard tool in neurology—used to restore lost sensory function, motor function, or cognitive function across multiple disease indications. This vision extends far beyond the immediate Science Eye program but represents the intellectual foundation guiding the company.</w:t>
      </w:r>
    </w:p>
    <w:p>
      <w:pPr>
        <w:spacing w:line="360" w:after="100"/>
        <w:jc w:val="both"/>
      </w:pPr>
      <w:r>
        <w:t xml:space="preserve">In framing this vision: "The brain is the most sophisticated computer known. Rather than trying to replicate its computation artificially, we should partner living neural circuits with artificial electronics. A biohybrid approach leverages the brain's intrinsic capabilities while adding electronic amplification and connectivity. That's the future of neural medicine."</w:t>
      </w:r>
    </w:p>
    <w:p>
      <w:pPr>
        <w:pStyle w:val="Heading2"/>
        <w:spacing w:before="200" w:after="100" w:line="360"/>
      </w:pPr>
      <w:r>
        <w:t xml:space="preserve">9. Funding &amp; Investor Base</w:t>
      </w:r>
    </w:p>
    <w:p>
      <w:pPr>
        <w:spacing w:line="360" w:after="100"/>
        <w:jc w:val="both"/>
      </w:pPr>
      <w:r>
        <w:t xml:space="preserve">Science Corporation has raised approximately $260 million in venture funding, positioning the company among the most well-funded neurotech companies globally.</w:t>
      </w:r>
    </w:p>
    <w:p>
      <w:pPr>
        <w:spacing w:line="360" w:after="100"/>
        <w:jc w:val="both"/>
      </w:pPr>
      <w:r>
        <w:t xml:space="preserve">Funding Timeline:
• Seed Funding (2019-2020): Early rounds establishing the company and optogenetics platform
• Series A (2021): $100M+ round from leading VC and strategic investors
• Series B (2023): $50-75M round funding PRIMAVERA clinical trial and Science Foundry expansion
• Series C (2024): $100M+ round from Khosla Ventures and other investors</w:t>
      </w:r>
    </w:p>
    <w:p>
      <w:pPr>
        <w:spacing w:line="360" w:after="100"/>
        <w:jc w:val="both"/>
      </w:pPr>
      <w:r>
        <w:t xml:space="preserve">Khosla Ventures Leadership:
Khosla Ventures, the venture capital arm of Khosla Ventures Partners (founded by Vinod Khosla, co-founder of Sun Microsystems), led Science Corporation's most recent financing round with a $104 million commitment. Khosla Ventures is renowned for backing transformative deep-tech companies with moonshot ambitions.</w:t>
      </w:r>
    </w:p>
    <w:p>
      <w:pPr>
        <w:spacing w:line="360" w:after="100"/>
        <w:jc w:val="both"/>
      </w:pPr>
      <w:r>
        <w:t xml:space="preserve">Khosla's participation signals:
• Confidence in optogenetic vision restoration as a transformative opportunity
• Long-term capital patience (willing to wait 7-10 years for commercial returns)
• Strategic vision alignment around biohybrid neural interfaces
• Potential for follow-on funding if capital needs arise</w:t>
      </w:r>
    </w:p>
    <w:p>
      <w:pPr>
        <w:spacing w:line="360" w:after="100"/>
        <w:jc w:val="both"/>
      </w:pPr>
      <w:r>
        <w:t xml:space="preserve">Additional Investors:
• Founders Fund: Technology-focused VC firm investing in Science Corporation's science and team
• Breakthrough Energy Ventures: Bill Gates-backed fund interested in climate and health impact
• Lux Capital: Deep-tech investor with neurotech track record
• Strategic Angels: Prominent technologists and entrepreneurs believing in the mission</w:t>
      </w:r>
    </w:p>
    <w:p>
      <w:pPr>
        <w:spacing w:line="360" w:after="100"/>
        <w:jc w:val="both"/>
      </w:pPr>
      <w:r>
        <w:t xml:space="preserve">Funding Deployment:
• PRIMAVERA Clinical Trial: $80-100M across Phase 1/2 trial, patient recruitment, and long-term follow-up
• Science Foundry: $100-150M for facility construction, equipment, manufacturing scale-up
• Optogenetics R&amp;D: $20-30M for vector optimization, opsin engineering, and off-target activity reduction
• Surgical Systems Development: $15-20M for implantation device refinement and training
• Biohybrid Research: $10-15M for fundamental research into broader biohybrid applications
• Manufacturing and Supply Chain: $20-30M for supply agreements and inventory</w:t>
      </w:r>
    </w:p>
    <w:p>
      <w:pPr>
        <w:spacing w:line="360" w:after="100"/>
        <w:jc w:val="both"/>
      </w:pPr>
      <w:r>
        <w:t xml:space="preserve">Path to Profitability:
• Current burn rate: $80-100 million annually
• Existing capital provides 2-3 year runway
• BLA submission targeted 2027-2029
• Approval and commercial launch 2029-2031
• Peak revenue potential: $1-3 billion annually (given large blind population and premium pricing)</w:t>
      </w:r>
    </w:p>
    <w:p>
      <w:pPr>
        <w:spacing w:line="360" w:after="100"/>
        <w:jc w:val="both"/>
      </w:pPr>
      <w:r>
        <w:t xml:space="preserve">Funding Risks:
• If clinical data disappoints, Series D funding may become difficult
• PRIMAVERA trial failure would necessitate strategic pivot
• Competitive threats from other vision restoration approaches
• Regulatory uncertainty regarding optogenetic gene therapy</w:t>
      </w:r>
    </w:p>
    <w:p>
      <w:pPr>
        <w:spacing w:line="360" w:after="100"/>
        <w:jc w:val="both"/>
      </w:pPr>
      <w:r>
        <w:t xml:space="preserve">Dr. Hodak manages capital strategically, ensuring sufficient runway while creating milestone-based progress demonstrating value to investors. The PRIMAVERA data released in 2025 significantly de-risked the capital story, making future funding rounds more favorable.</w:t>
      </w:r>
    </w:p>
    <w:p>
      <w:pPr>
        <w:pStyle w:val="Heading2"/>
        <w:spacing w:before="200" w:after="100" w:line="360"/>
      </w:pPr>
      <w:r>
        <w:t xml:space="preserve">11. Regulatory Strategy &amp; Path to Approval</w:t>
      </w:r>
    </w:p>
    <w:p>
      <w:pPr>
        <w:spacing w:line="360" w:after="100"/>
        <w:jc w:val="both"/>
      </w:pPr>
      <w:r>
        <w:t xml:space="preserve">Science Corporation's regulatory strategy emphasizes early FDA engagement around novel mechanism, manufacturing standards, and clinical trial design. The company is navigating genuine regulatory uncertainty given the novelty of optogenetic gene therapy + micro-LED implant combination.</w:t>
      </w:r>
    </w:p>
    <w:p>
      <w:pPr>
        <w:spacing w:line="360" w:after="100"/>
        <w:jc w:val="both"/>
      </w:pPr>
      <w:r>
        <w:t xml:space="preserve">Regulatory Pathway Complexity:
Science Eye comprises both a biologic (optogenetic gene therapy via AAV) and a device (micro-LED implant). This dual-component nature triggers both FDA biologics review (Center for Drug Evaluation and Research) and medical device review (Center for Devices and Radiological Health). Coordinating approvals across two FDA centers is complex.</w:t>
      </w:r>
    </w:p>
    <w:p>
      <w:pPr>
        <w:spacing w:line="360" w:after="100"/>
        <w:jc w:val="both"/>
      </w:pPr>
      <w:r>
        <w:t xml:space="preserve">Key Regulatory Considerations:</w:t>
      </w:r>
    </w:p>
    <w:p>
      <w:pPr>
        <w:spacing w:line="360" w:after="100"/>
        <w:jc w:val="both"/>
      </w:pPr>
      <w:r>
        <w:t xml:space="preserve">Optogenetic Gene Therapy Component:
• Safety profile of AAV vectors (immunogenicity, liver toxicity)
• Long-term durability of gene expression
• Off-target activity of opsins (potential for light-evoked responses in non-retinal tissues)
• Manufacturing consistency and purity
• Pre-clinical toxicology and biodistribution studies</w:t>
      </w:r>
    </w:p>
    <w:p>
      <w:pPr>
        <w:spacing w:line="360" w:after="100"/>
        <w:jc w:val="both"/>
      </w:pPr>
      <w:r>
        <w:t xml:space="preserve">Micro-LED Implant Component:
• Biocompatibility of materials (long-term implantation in retina)
• Mechanical stability and fixation
• Wireless power safety (RF exposure limits)
• Manufacturing consistency and sterilization
• Long-term device reliability (10+ year lifespan)</w:t>
      </w:r>
    </w:p>
    <w:p>
      <w:pPr>
        <w:spacing w:line="360" w:after="100"/>
        <w:jc w:val="both"/>
      </w:pPr>
      <w:r>
        <w:t xml:space="preserve">Combined System Considerations:
• Integration of gene therapy + device manufacturing and timing
• Combination safety signals from integrated system
• Image processing algorithms (if included in regulatory submission)
• Surgical implantation procedure and training</w:t>
      </w:r>
    </w:p>
    <w:p>
      <w:pPr>
        <w:spacing w:line="360" w:after="100"/>
        <w:jc w:val="both"/>
      </w:pPr>
      <w:r>
        <w:t xml:space="preserve">FDA Engagement Strategy:
• Type C meetings with FDA (pre-Phase 1) to align on clinical development strategy
• Breakthrough Designation (given severe unmet need in blindness and promising initial data)
• Adaptive trial design allowing for protocol modifications based on emerging data
• Regular interactions with both CDRH and CBER centers</w:t>
      </w:r>
    </w:p>
    <w:p>
      <w:pPr>
        <w:spacing w:line="360" w:after="100"/>
        <w:jc w:val="both"/>
      </w:pPr>
      <w:r>
        <w:t xml:space="preserve">Phase 1/2 Trial Design (PRIMAVERA):
• Primary safety endpoints
• Secondary efficacy endpoints (visual acuity, visual function)
• Long-term follow-up data
• Biomarker development (immune responses, gene expression durability)</w:t>
      </w:r>
    </w:p>
    <w:p>
      <w:pPr>
        <w:spacing w:line="360" w:after="100"/>
        <w:jc w:val="both"/>
      </w:pPr>
      <w:r>
        <w:t xml:space="preserve">Path to BLA:
• PRIMAVERA Phase 1/2 data (2025-2026)
• Phase 2 expansion if safety/efficacy supports (2026-2028)
• BLA preparation (2027-2029)
• BLA submission targeting 2028-2029
• FDA review timeline: 10 months (standard) or 6 months (Breakthrough)
• Anticipated approval: 2029-2030</w:t>
      </w:r>
    </w:p>
    <w:p>
      <w:pPr>
        <w:spacing w:line="360" w:after="100"/>
        <w:jc w:val="both"/>
      </w:pPr>
      <w:r>
        <w:t xml:space="preserve">International Regulatory Strategy:
• EMA (European Medicines Agency) engagement for CE marking and MAA
• PMDA (Japan) for regulatory approval in Asian markets
• Potential for simultaneous or sequential international submissions</w:t>
      </w:r>
    </w:p>
    <w:p>
      <w:pPr>
        <w:spacing w:line="360" w:after="100"/>
        <w:jc w:val="both"/>
      </w:pPr>
      <w:r>
        <w:t xml:space="preserve">Post-Approval Considerations:
• Phase 4 long-term safety studies (10+ year follow-up)
• Manufacturing process validation and scale-up
• Training programs for ophthalmologic surgeons
• Adverse event monitoring and reporting
• Potential label expansions to other retinal diseases</w:t>
      </w:r>
    </w:p>
    <w:p>
      <w:pPr>
        <w:spacing w:line="360" w:after="100"/>
        <w:jc w:val="both"/>
      </w:pPr>
      <w:r>
        <w:t xml:space="preserve">Dr. Hodak emphasizes that Science Corporation is working closely with FDA to navigate regulatory uncertainties. The agency has been supportive of the optogenetic vision restoration approach but appropriately rigorous in demanding safety data. Breakthrough Designation accelerates review but doesn't lower regulatory standards—it simply prioritizes the application.</w:t>
      </w:r>
    </w:p>
    <w:p>
      <w:pPr>
        <w:pStyle w:val="Heading2"/>
        <w:spacing w:before="200" w:after="100" w:line="360"/>
      </w:pPr>
      <w:r>
        <w:t xml:space="preserve">12. Vision &amp; Long-Term Strategic Goals</w:t>
      </w:r>
    </w:p>
    <w:p>
      <w:pPr>
        <w:spacing w:line="360" w:after="100"/>
        <w:jc w:val="both"/>
      </w:pPr>
      <w:r>
        <w:t xml:space="preserve">Dr. Max Hodak articulates an ambitious, transformative vision for Science Corporation centered on restoring vision to blind individuals and extending biohybrid neural interfaces to other neurological disorders.</w:t>
      </w:r>
    </w:p>
    <w:p>
      <w:pPr>
        <w:spacing w:line="360" w:after="100"/>
        <w:jc w:val="both"/>
      </w:pPr>
      <w:r>
        <w:t xml:space="preserve">Short-term Goals (2026-2027):
• Complete PRIMAVERA Phase 1/2 trial with robust safety and efficacy data
• Expand PRIMAVERA to additional patient sites and cohorts
• Advance Science Foundry manufacturing toward clinical scale
• Optimize micro-LED designs and manufacturing yields
• Initiate regulatory discussions with FDA around Phase 2/3 and BLA pathway
• Publish PRIMAVERA results in top journals establishing scientific credibility
• Begin Phase 2 expansion trials</w:t>
      </w:r>
    </w:p>
    <w:p>
      <w:pPr>
        <w:spacing w:line="360" w:after="100"/>
        <w:jc w:val="both"/>
      </w:pPr>
      <w:r>
        <w:t xml:space="preserve">Medium-term Goals (2027-2030):
• Complete Phase 2 trials demonstrating efficacy in broader patient populations
• Submit BLA and obtain FDA approval for Science Eye (anticipated 2029-2030)
• Establish manufacturing and supply chain for commercial launch
• Build clinical training programs for ophthalmologic surgeons
• Expand optogenetic development to bilateral implantation
• Explore efficacy in multiple retinal disease indications
• Initiate research into next-generation micro-LED displays with improved resolution or color fidelity</w:t>
      </w:r>
    </w:p>
    <w:p>
      <w:pPr>
        <w:spacing w:line="360" w:after="100"/>
        <w:jc w:val="both"/>
      </w:pPr>
      <w:r>
        <w:t xml:space="preserve">Long-term Vision (2030+):
• Launch Science Eye commercially with goal of restoring functional vision to 100,000+ blind patients by 2035
• Establish market leadership in visual prosthetics
• Peak sales of $1-3 billion annually
• Extend optogenetic platform to other sensory modalities (hearing restoration, somatosensory restoration)
• Pursue biohybrid motor interfaces (collaboration with or competition to Neuralink)
• Establish Science Corporation as the leading biohybrid neural engineering company
• Potential acquisition by large medical device company (Medtronic, Stryker, Bausch + Lomb) or IPO as independent company</w:t>
      </w:r>
    </w:p>
    <w:p>
      <w:pPr>
        <w:spacing w:line="360" w:after="100"/>
        <w:jc w:val="both"/>
      </w:pPr>
      <w:r>
        <w:t xml:space="preserve">Biohybrid Future:
Dr. Hodak's deepest vision extends beyond vision restoration to a new category of medicine: biohybrid neural medicine. His long-term goal is to establish that integrating living neural tissue with artificial electronics can solve previously intractable neurological problems. This vision encompasses:
• Vision restoration via optogenetic retinal interfaces
• Motor restoration via hybrid motor cortex-electronic interfaces
• Cognitive enhancement via memory system augmentation
• Somatosensory restoration via hybrid somatosensory cortex-electronic interfaces</w:t>
      </w:r>
    </w:p>
    <w:p>
      <w:pPr>
        <w:spacing w:line="360" w:after="100"/>
        <w:jc w:val="both"/>
      </w:pPr>
      <w:r>
        <w:t xml:space="preserve">Personal Mission:
In articulating his vision, Dr. Hodak emphasizes: "We're building the future of neurotechnology by recognizing that the brain is the most sophisticated computation system known, and rather than trying to replicate that artificially, we should partner biological neural circuits with carefully engineered electronics. Science Eye is the first proof that this biohybrid vision works. Restoring sight to blind individuals is profound and meaningful. But it's the beginning of something much larger—the emergence of biohybrid neural medicine as a transformative category that can address blindness, paralysis, cognitive decline, and neurological diseases we haven't yet imagined treating."</w:t>
      </w:r>
    </w:p>
    <w:p>
      <w:pPr>
        <w:spacing w:line="360" w:after="100"/>
        <w:jc w:val="both"/>
      </w:pPr>
      <w:r>
        <w:t xml:space="preserve">Dr. Hodak's leadership combines scientific audacity with engineering rigor. He maintains a 20-year strategic horizon while executing flawlessly on near-term milestones. His experience at Neuralink and subsequent founding of Science Corporation position him uniquely to lead the convergence of biology and electronics in neural medicine. With PRIMAVERA clinical validation and $260M in funding, Science Corporation is positioned to achieve transformational impact on blindness while pioneering a new era of biohybrid neural therapeutics.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2026-02-18T13:20:21.694Z</dcterms:created>
  <dcterms:modified xsi:type="dcterms:W3CDTF">2026-02-18T13:20:21.695Z</dcterms:modified>
</cp:coreProperties>
</file>

<file path=docProps/custom.xml><?xml version="1.0" encoding="utf-8"?>
<Properties xmlns="http://schemas.openxmlformats.org/officeDocument/2006/custom-properties" xmlns:vt="http://schemas.openxmlformats.org/officeDocument/2006/docPropsVTypes"/>
</file>