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pPr>
      <w:r>
        <w:t xml:space="preserve">Dr. Robin Sherrington, PhD</w:t>
      </w:r>
    </w:p>
    <w:p>
      <w:pPr>
        <w:spacing w:after="400"/>
      </w:pPr>
      <w:r>
        <w:t xml:space="preserve">EVP Strategy &amp; Innovation, Xenon Pharmaceuticals</w:t>
      </w:r>
    </w:p>
    <w:p>
      <w:pPr>
        <w:spacing w:after="200"/>
      </w:pPr>
      <w:r>
        <w:t xml:space="preserve">1. Role &amp; Scope</w:t>
      </w:r>
    </w:p>
    <w:p>
      <w:pPr>
        <w:spacing w:after="200"/>
      </w:pPr>
      <w:r>
        <w:t xml:space="preserve">As EVP Strategy &amp; Innovation at Xenon Pharmaceuticals, Dr. Sherrington oversees the scientific direction and strategic positioning of the company's ion channel-focused neurology pipeline. With over 20 years in neuroscience drug development, she bridges academic rigor with commercial realities, managing a portfolio of phase 3 programs targeting high-burden neurological conditions. Her role encompasses platform stewardship, competitive landscaping, clinical trial strategy, and early-stage innovation pipeline expansion. She reports directly to CEO Ian Mortimer and serves as the primary scientific voice to investors, regulatory agencies, and academic collaborators.</w:t>
      </w:r>
    </w:p>
    <w:p>
      <w:pPr>
        <w:spacing w:after="100"/>
      </w:pPr>
      <w:r>
        <w:t xml:space="preserve">Key Responsibilities:</w:t>
      </w:r>
    </w:p>
    <w:p>
      <w:pPr>
        <w:pStyle w:val="ListParagraph"/>
        <w:numPr>
          <w:ilvl w:val="0"/>
          <w:numId w:val="1"/>
        </w:numPr>
        <w:spacing w:after="80"/>
      </w:pPr>
      <w:r>
        <w:t xml:space="preserve">Clinical trial design and regulatory strategy for Kv7 and Kv channel programs</w:t>
      </w:r>
    </w:p>
    <w:p>
      <w:pPr>
        <w:pStyle w:val="ListParagraph"/>
        <w:numPr>
          <w:ilvl w:val="0"/>
          <w:numId w:val="1"/>
        </w:numPr>
        <w:spacing w:after="80"/>
      </w:pPr>
      <w:r>
        <w:t xml:space="preserve">Portfolio optimization and candidate prioritization across epilepsy, MDD, and pain indications</w:t>
      </w:r>
    </w:p>
    <w:p>
      <w:pPr>
        <w:pStyle w:val="ListParagraph"/>
        <w:numPr>
          <w:ilvl w:val="0"/>
          <w:numId w:val="1"/>
        </w:numPr>
        <w:spacing w:after="80"/>
      </w:pPr>
      <w:r>
        <w:t xml:space="preserve">Competitive positioning versus other ion channel and epilepsy programs</w:t>
      </w:r>
    </w:p>
    <w:p>
      <w:pPr>
        <w:pStyle w:val="ListParagraph"/>
        <w:numPr>
          <w:ilvl w:val="0"/>
          <w:numId w:val="1"/>
        </w:numPr>
        <w:spacing w:after="400"/>
      </w:pPr>
      <w:r>
        <w:t xml:space="preserve">Long-term open-label extension (OLE) data analysis and patient registry management</w:t>
      </w:r>
    </w:p>
    <w:p>
      <w:pPr>
        <w:spacing w:after="200"/>
      </w:pPr>
      <w:r>
        <w:t xml:space="preserve">2. Strategic Priorities</w:t>
      </w:r>
    </w:p>
    <w:p>
      <w:pPr>
        <w:spacing w:after="200"/>
      </w:pPr>
      <w:r>
        <w:t xml:space="preserve">Dr. Sherrington is acutely focused on advancing azetukalner (XEN1101) as the first-in-class Kv7 potassium channel opener for focal seizures and comorbid major depressive disorder. The 48-month OLE data represents a critical dataset for sustained safety and efficacy, positioning Xenon for differentiated labeling. She is equally invested in expanding the Kv7 and broader Kv channel platform, ensuring the company captures first-mover advantage before competitors enter the space. Her strategic lens includes ecosystem partnerships, real-world evidence collection, and post-launch commercialization infrastructure.</w:t>
      </w:r>
    </w:p>
    <w:p>
      <w:pPr>
        <w:spacing w:after="100"/>
      </w:pPr>
      <w:r>
        <w:t xml:space="preserve">Immediate Objectives:</w:t>
      </w:r>
    </w:p>
    <w:p>
      <w:pPr>
        <w:pStyle w:val="ListParagraph"/>
        <w:numPr>
          <w:ilvl w:val="0"/>
          <w:numId w:val="1"/>
        </w:numPr>
        <w:spacing w:after="80"/>
      </w:pPr>
      <w:r>
        <w:t xml:space="preserve">Accelerate Phase 3 recruitment for focal seizure and MDD cohorts</w:t>
      </w:r>
    </w:p>
    <w:p>
      <w:pPr>
        <w:pStyle w:val="ListParagraph"/>
        <w:numPr>
          <w:ilvl w:val="0"/>
          <w:numId w:val="1"/>
        </w:numPr>
        <w:spacing w:after="80"/>
      </w:pPr>
      <w:r>
        <w:t xml:space="preserve">Analyze 48-month OLE extension data for long-term safety signals and durability claims</w:t>
      </w:r>
    </w:p>
    <w:p>
      <w:pPr>
        <w:pStyle w:val="ListParagraph"/>
        <w:numPr>
          <w:ilvl w:val="0"/>
          <w:numId w:val="1"/>
        </w:numPr>
        <w:spacing w:after="80"/>
      </w:pPr>
      <w:r>
        <w:t xml:space="preserve">Finalize Phase 2b/3 development plans for XEN1701 and XEN1120 pain programs</w:t>
      </w:r>
    </w:p>
    <w:p>
      <w:pPr>
        <w:pStyle w:val="ListParagraph"/>
        <w:numPr>
          <w:ilvl w:val="0"/>
          <w:numId w:val="1"/>
        </w:numPr>
        <w:spacing w:after="400"/>
      </w:pPr>
      <w:r>
        <w:t xml:space="preserve">Establish advisory boards and KOL engagement strategy for refractory epilepsy community</w:t>
      </w:r>
    </w:p>
    <w:p>
      <w:pPr>
        <w:spacing w:after="200"/>
      </w:pPr>
      <w:r>
        <w:t xml:space="preserve">3. Scientific Expertise &amp; Background</w:t>
      </w:r>
    </w:p>
    <w:p>
      <w:pPr>
        <w:spacing w:after="200"/>
      </w:pPr>
      <w:r>
        <w:t xml:space="preserve">Dr. Sherrington holds a PhD in Molecular Neurobiology from UC San Diego and completed postdoctoral training in ion channel electrophysiology at the Max Planck Institute. She has published over 80 peer-reviewed papers on voltage-gated potassium channels, neuronal excitability, and seizure mechanisms. Her previous role as SVP Clinical Development at a mid-stage CNS biotech exposed her to end-to-end drug development, regulatory submission strategy, and FDA interactions. She is intimately familiar with the Kv7 mechanism of action, having followed the academic literature since the inception of retigabine and seeing first-hand the gap left after its withdrawal.</w:t>
      </w:r>
    </w:p>
    <w:p>
      <w:pPr>
        <w:spacing w:after="100"/>
      </w:pPr>
      <w:r>
        <w:t xml:space="preserve">Core Competencies:</w:t>
      </w:r>
    </w:p>
    <w:p>
      <w:pPr>
        <w:pStyle w:val="ListParagraph"/>
        <w:numPr>
          <w:ilvl w:val="0"/>
          <w:numId w:val="1"/>
        </w:numPr>
        <w:spacing w:after="80"/>
      </w:pPr>
      <w:r>
        <w:t xml:space="preserve">Deep expertise in Kv7 and ion channel biology across CNS and pain pathways</w:t>
      </w:r>
    </w:p>
    <w:p>
      <w:pPr>
        <w:pStyle w:val="ListParagraph"/>
        <w:numPr>
          <w:ilvl w:val="0"/>
          <w:numId w:val="1"/>
        </w:numPr>
        <w:spacing w:after="80"/>
      </w:pPr>
      <w:r>
        <w:t xml:space="preserve">Clinical trial design and operational excellence in refractory epilepsy populations</w:t>
      </w:r>
    </w:p>
    <w:p>
      <w:pPr>
        <w:pStyle w:val="ListParagraph"/>
        <w:numPr>
          <w:ilvl w:val="0"/>
          <w:numId w:val="1"/>
        </w:numPr>
        <w:spacing w:after="80"/>
      </w:pPr>
      <w:r>
        <w:t xml:space="preserve">Regulatory strategy and FDA pathways for neurological indications</w:t>
      </w:r>
    </w:p>
    <w:p>
      <w:pPr>
        <w:pStyle w:val="ListParagraph"/>
        <w:numPr>
          <w:ilvl w:val="0"/>
          <w:numId w:val="1"/>
        </w:numPr>
        <w:spacing w:after="400"/>
      </w:pPr>
      <w:r>
        <w:t xml:space="preserve">Long-term safety pharmacovigilance and real-world outcomes analysis</w:t>
      </w:r>
    </w:p>
    <w:p>
      <w:pPr>
        <w:spacing w:after="200"/>
      </w:pPr>
      <w:r>
        <w:t xml:space="preserve">4. Key Challenges &amp; Pain Points</w:t>
      </w:r>
    </w:p>
    <w:p>
      <w:pPr>
        <w:spacing w:after="200"/>
      </w:pPr>
      <w:r>
        <w:t xml:space="preserve">As a first-in-class program, azetukalner faces several critical hurdles. Patient recruitment in focal seizure trials remains slower than industry benchmarks, compounded by the niche nature of refractory epilepsy populations. Competitive intensity from other Kv7 programs and broader antiseizure drug launches threatens market share assumptions. The dual indication strategy (focal seizures + MDD) presents complexity in trial design and label optimization. Long-term safety expectations continue to rise post-Vraylar and other CNS launches; any durability or emergence of novel safety signals could derail the program. Investor confidence hinges on clear competitive differentiation, which requires robust OLE data analysis.</w:t>
      </w:r>
    </w:p>
    <w:p>
      <w:pPr>
        <w:spacing w:after="100"/>
      </w:pPr>
      <w:r>
        <w:t xml:space="preserve">Critical Pressure Points:</w:t>
      </w:r>
    </w:p>
    <w:p>
      <w:pPr>
        <w:pStyle w:val="ListParagraph"/>
        <w:numPr>
          <w:ilvl w:val="0"/>
          <w:numId w:val="1"/>
        </w:numPr>
        <w:spacing w:after="80"/>
      </w:pPr>
      <w:r>
        <w:t xml:space="preserve">Patient recruitment timelines and site activation in focal seizure trials</w:t>
      </w:r>
    </w:p>
    <w:p>
      <w:pPr>
        <w:pStyle w:val="ListParagraph"/>
        <w:numPr>
          <w:ilvl w:val="0"/>
          <w:numId w:val="1"/>
        </w:numPr>
        <w:spacing w:after="80"/>
      </w:pPr>
      <w:r>
        <w:t xml:space="preserve">Competitive threats from emerging Kv7 rivals and other ion channel programs</w:t>
      </w:r>
    </w:p>
    <w:p>
      <w:pPr>
        <w:pStyle w:val="ListParagraph"/>
        <w:numPr>
          <w:ilvl w:val="0"/>
          <w:numId w:val="1"/>
        </w:numPr>
        <w:spacing w:after="80"/>
      </w:pPr>
      <w:r>
        <w:t xml:space="preserve">Long-term safety profile interpretation and differentiation from retigabine</w:t>
      </w:r>
    </w:p>
    <w:p>
      <w:pPr>
        <w:pStyle w:val="ListParagraph"/>
        <w:numPr>
          <w:ilvl w:val="0"/>
          <w:numId w:val="1"/>
        </w:numPr>
        <w:spacing w:after="400"/>
      </w:pPr>
      <w:r>
        <w:t xml:space="preserve">Dual indication complexity and label negotiation with regulatory authorities</w:t>
      </w:r>
    </w:p>
    <w:p>
      <w:pPr>
        <w:spacing w:after="200"/>
      </w:pPr>
      <w:r>
        <w:t xml:space="preserve">5. Information Needs &amp; Data Preferences</w:t>
      </w:r>
    </w:p>
    <w:p>
      <w:pPr>
        <w:spacing w:after="200"/>
      </w:pPr>
      <w:r>
        <w:t xml:space="preserve">Dr. Sherrington demands rigorous, peer-reviewed clinical and preclinical data. She prioritizes pharmakokinetic/pharmacodynamic (PK/PD) modeling, patient registry insights, and real-world evidence over marketing rhetoric. Competitive landscape intelligence—including competitor trial enrollment, safety updates, and regulatory submissions—is essential for strategic pivoting. She values long-term safety databases, pharmacovigilance summaries, and post-marketing surveillance plans. Regulatory guidance documents, FDA feedback letters, and EU guidance on pediatric extensions inform her development roadmap. Health economics data and payer coverage trends shape commercialization assumptions.</w:t>
      </w:r>
    </w:p>
    <w:p>
      <w:pPr>
        <w:spacing w:after="100"/>
      </w:pPr>
      <w:r>
        <w:t xml:space="preserve">Priority Information Sources:</w:t>
      </w:r>
    </w:p>
    <w:p>
      <w:pPr>
        <w:pStyle w:val="ListParagraph"/>
        <w:numPr>
          <w:ilvl w:val="0"/>
          <w:numId w:val="1"/>
        </w:numPr>
        <w:spacing w:after="80"/>
      </w:pPr>
      <w:r>
        <w:t xml:space="preserve">Phase 3 trial recruitment metrics and site feasibility analyses</w:t>
      </w:r>
    </w:p>
    <w:p>
      <w:pPr>
        <w:pStyle w:val="ListParagraph"/>
        <w:numPr>
          <w:ilvl w:val="0"/>
          <w:numId w:val="1"/>
        </w:numPr>
        <w:spacing w:after="80"/>
      </w:pPr>
      <w:r>
        <w:t xml:space="preserve">Competitor Kv7 program updates and regulatory interactions</w:t>
      </w:r>
    </w:p>
    <w:p>
      <w:pPr>
        <w:pStyle w:val="ListParagraph"/>
        <w:numPr>
          <w:ilvl w:val="0"/>
          <w:numId w:val="1"/>
        </w:numPr>
        <w:spacing w:after="80"/>
      </w:pPr>
      <w:r>
        <w:t xml:space="preserve">Long-term safety data syntheses and pharmacovigilance reports</w:t>
      </w:r>
    </w:p>
    <w:p>
      <w:pPr>
        <w:pStyle w:val="ListParagraph"/>
        <w:numPr>
          <w:ilvl w:val="0"/>
          <w:numId w:val="1"/>
        </w:numPr>
        <w:spacing w:after="400"/>
      </w:pPr>
      <w:r>
        <w:t xml:space="preserve">FDA regulatory pathway clarifications and approval precedent analyses</w:t>
      </w:r>
    </w:p>
    <w:p>
      <w:pPr>
        <w:spacing w:after="200"/>
      </w:pPr>
      <w:r>
        <w:t xml:space="preserve">6. Market Understanding &amp; Industry Perspective</w:t>
      </w:r>
    </w:p>
    <w:p>
      <w:pPr>
        <w:spacing w:after="200"/>
      </w:pPr>
      <w:r>
        <w:t xml:space="preserve">Dr. Sherrington views the neurology biotech landscape as increasingly crowded yet fragmented. Focal epilepsy remains underserved despite the existence of over 20 approved ASDs; many patients are still refractory or intolerant. The MDD comorbidity in epilepsy is well-documented but rarely addressed as a dual indication—Xenon's approach is differentiated. The broader ion channel space is enjoying renewed investor interest post-GLP-1 fatigue, though CNS programs remain de-risked compared to metabolic targets. She anticipates consolidation among mid-stage epilepsy biotech, positioning Xenon as an attractive acquisition target or partnership opportunity.</w:t>
      </w:r>
    </w:p>
    <w:p>
      <w:pPr>
        <w:spacing w:after="100"/>
      </w:pPr>
      <w:r>
        <w:t xml:space="preserve">Market Observations:</w:t>
      </w:r>
    </w:p>
    <w:p>
      <w:pPr>
        <w:pStyle w:val="ListParagraph"/>
        <w:numPr>
          <w:ilvl w:val="0"/>
          <w:numId w:val="1"/>
        </w:numPr>
        <w:spacing w:after="80"/>
      </w:pPr>
      <w:r>
        <w:t xml:space="preserve">Focal seizure market remains underpenetrated despite multiple ASD options</w:t>
      </w:r>
    </w:p>
    <w:p>
      <w:pPr>
        <w:pStyle w:val="ListParagraph"/>
        <w:numPr>
          <w:ilvl w:val="0"/>
          <w:numId w:val="1"/>
        </w:numPr>
        <w:spacing w:after="80"/>
      </w:pPr>
      <w:r>
        <w:t xml:space="preserve">Investor appetite for ion channel programs is rebounding; differentiators are critical</w:t>
      </w:r>
    </w:p>
    <w:p>
      <w:pPr>
        <w:pStyle w:val="ListParagraph"/>
        <w:numPr>
          <w:ilvl w:val="0"/>
          <w:numId w:val="1"/>
        </w:numPr>
        <w:spacing w:after="80"/>
      </w:pPr>
      <w:r>
        <w:t xml:space="preserve">MDD + comorbid condition strategies are attractive to payers and pharma partners</w:t>
      </w:r>
    </w:p>
    <w:p>
      <w:pPr>
        <w:pStyle w:val="ListParagraph"/>
        <w:numPr>
          <w:ilvl w:val="0"/>
          <w:numId w:val="1"/>
        </w:numPr>
        <w:spacing w:after="400"/>
      </w:pPr>
      <w:r>
        <w:t xml:space="preserve">Consolidation pressure may accelerate post-Phase 3 readout; partnership optionality is key</w:t>
      </w:r>
    </w:p>
    <w:p>
      <w:pPr>
        <w:spacing w:after="200"/>
      </w:pPr>
      <w:r>
        <w:t xml:space="preserve">7. Decision-Making Style &amp; Preferred Communication</w:t>
      </w:r>
    </w:p>
    <w:p>
      <w:pPr>
        <w:spacing w:after="200"/>
      </w:pPr>
      <w:r>
        <w:t xml:space="preserve">Dr. Sherrington is data-driven and consensus-oriented, demanding rigorous scientific evidence before committing to strategic shifts. She prefers concise, executive-summary style briefings backed by detailed appendices; brevity without losing nuance is valued. She is accessible but guarded; decisions are made collaboratively with the CMO, regulatory lead, and investor relations teams. She respects intellectual rigor and will challenge assumptions from vendors or service providers. Communication should be direct, jargon-appropriate, and grounded in clinical precedent. She dislikes hand-waving or speculative claims and will defer decisions if data is incomplete.</w:t>
      </w:r>
    </w:p>
    <w:p>
      <w:pPr>
        <w:spacing w:after="100"/>
      </w:pPr>
      <w:r>
        <w:t xml:space="preserve">Communication Preferences:</w:t>
      </w:r>
    </w:p>
    <w:p>
      <w:pPr>
        <w:pStyle w:val="ListParagraph"/>
        <w:numPr>
          <w:ilvl w:val="0"/>
          <w:numId w:val="1"/>
        </w:numPr>
        <w:spacing w:after="80"/>
      </w:pPr>
      <w:r>
        <w:t xml:space="preserve">Executive summaries with 1-2 page limit; detailed data in appendices</w:t>
      </w:r>
    </w:p>
    <w:p>
      <w:pPr>
        <w:pStyle w:val="ListParagraph"/>
        <w:numPr>
          <w:ilvl w:val="0"/>
          <w:numId w:val="1"/>
        </w:numPr>
        <w:spacing w:after="80"/>
      </w:pPr>
      <w:r>
        <w:t xml:space="preserve">Peer-reviewed publications and regulatory precedent over vendor white papers</w:t>
      </w:r>
    </w:p>
    <w:p>
      <w:pPr>
        <w:pStyle w:val="ListParagraph"/>
        <w:numPr>
          <w:ilvl w:val="0"/>
          <w:numId w:val="1"/>
        </w:numPr>
        <w:spacing w:after="80"/>
      </w:pPr>
      <w:r>
        <w:t xml:space="preserve">Monthly pipeline updates and quarterly strategic reviews</w:t>
      </w:r>
    </w:p>
    <w:p>
      <w:pPr>
        <w:pStyle w:val="ListParagraph"/>
        <w:numPr>
          <w:ilvl w:val="0"/>
          <w:numId w:val="1"/>
        </w:numPr>
        <w:spacing w:after="400"/>
      </w:pPr>
      <w:r>
        <w:t xml:space="preserve">Collaborative decision-making with CMO, regulatory, and IR input</w:t>
      </w:r>
    </w:p>
    <w:p>
      <w:pPr>
        <w:spacing w:after="200"/>
      </w:pPr>
      <w:r>
        <w:t xml:space="preserve">8. Success Metrics &amp; KPIs</w:t>
      </w:r>
    </w:p>
    <w:p>
      <w:pPr>
        <w:spacing w:after="200"/>
      </w:pPr>
      <w:r>
        <w:t xml:space="preserve">Dr. Sherrington tracks multiple overlapping KPIs: Phase 3 enrollment velocity and retention rates, long-term safety signal frequency and severity, OLE data quality and completeness, regulatory feedback incorporation, and competitive positioning. She monitors investor sentiment through earnings calls and biotech industry indices. Internal metrics include time-to-readout, regulatory submission timelines, and portfolio advancement rate. Post-approval, she will emphasize real-world outcomes, patient satisfaction scores, and payer coverage breadth. Ultimately, success is measured by azetukalner's commercial launch, label breadth, and Xenon's position as the premier Kv7 platform company.</w:t>
      </w:r>
    </w:p>
    <w:p>
      <w:pPr>
        <w:spacing w:after="100"/>
      </w:pPr>
      <w:r>
        <w:t xml:space="preserve">Key Performance Indicators:</w:t>
      </w:r>
    </w:p>
    <w:p>
      <w:pPr>
        <w:pStyle w:val="ListParagraph"/>
        <w:numPr>
          <w:ilvl w:val="0"/>
          <w:numId w:val="1"/>
        </w:numPr>
        <w:spacing w:after="80"/>
      </w:pPr>
      <w:r>
        <w:t xml:space="preserve">Phase 3 trial enrollment and retention rates vs. industry benchmarks</w:t>
      </w:r>
    </w:p>
    <w:p>
      <w:pPr>
        <w:pStyle w:val="ListParagraph"/>
        <w:numPr>
          <w:ilvl w:val="0"/>
          <w:numId w:val="1"/>
        </w:numPr>
        <w:spacing w:after="80"/>
      </w:pPr>
      <w:r>
        <w:t xml:space="preserve">Long-term safety profile stability and differentiation from competitors</w:t>
      </w:r>
    </w:p>
    <w:p>
      <w:pPr>
        <w:pStyle w:val="ListParagraph"/>
        <w:numPr>
          <w:ilvl w:val="0"/>
          <w:numId w:val="1"/>
        </w:numPr>
        <w:spacing w:after="80"/>
      </w:pPr>
      <w:r>
        <w:t xml:space="preserve">Regulatory feedback incorporation and approval timeline achievement</w:t>
      </w:r>
    </w:p>
    <w:p>
      <w:pPr>
        <w:pStyle w:val="ListParagraph"/>
        <w:numPr>
          <w:ilvl w:val="0"/>
          <w:numId w:val="1"/>
        </w:numPr>
        <w:spacing w:after="400"/>
      </w:pPr>
      <w:r>
        <w:t xml:space="preserve">Post-launch real-world outcomes and payer coverage attainment</w:t>
      </w:r>
    </w:p>
    <w:p>
      <w:pPr>
        <w:spacing w:after="200"/>
      </w:pPr>
      <w:r>
        <w:t xml:space="preserve">9. Organizational Relationships &amp; Ecosystem</w:t>
      </w:r>
    </w:p>
    <w:p>
      <w:pPr>
        <w:spacing w:after="200"/>
      </w:pPr>
      <w:r>
        <w:t xml:space="preserve">Dr. Sherrington collaborates closely with Xenon's CMO (Chief Medical Officer), regulatory affairs lead, and clinical operations team. She partners with academic KOLs in epilepsy and psychiatric neuroscience, maintaining relationships with opinion leaders at top epilepsy centers (Duke, Johns Hopkins, Mayo Clinic). She engages regularly with patient advocacy groups (Epilepsy Foundation, Depression and Bipolar Support Alliance) to ensure trial design reflects real-world patient needs. CEO Ian Mortimer relies on her scientific credibility and strategic foresight; she is his primary advisor on portfolio architecture. She also manages relationships with CROs, RMAT contractors, and biomarker service providers.</w:t>
      </w:r>
    </w:p>
    <w:p>
      <w:pPr>
        <w:spacing w:after="100"/>
      </w:pPr>
      <w:r>
        <w:t xml:space="preserve">Key Stakeholder Groups:</w:t>
      </w:r>
    </w:p>
    <w:p>
      <w:pPr>
        <w:pStyle w:val="ListParagraph"/>
        <w:numPr>
          <w:ilvl w:val="0"/>
          <w:numId w:val="1"/>
        </w:numPr>
        <w:spacing w:after="80"/>
      </w:pPr>
      <w:r>
        <w:t xml:space="preserve">Internal: CEO, CMO, Regulatory Affairs, Clinical Operations, Investor Relations</w:t>
      </w:r>
    </w:p>
    <w:p>
      <w:pPr>
        <w:pStyle w:val="ListParagraph"/>
        <w:numPr>
          <w:ilvl w:val="0"/>
          <w:numId w:val="1"/>
        </w:numPr>
        <w:spacing w:after="80"/>
      </w:pPr>
      <w:r>
        <w:t xml:space="preserve">External: KOLs in epilepsy/psychiatry, patient advocacy groups, academic collaborators</w:t>
      </w:r>
    </w:p>
    <w:p>
      <w:pPr>
        <w:pStyle w:val="ListParagraph"/>
        <w:numPr>
          <w:ilvl w:val="0"/>
          <w:numId w:val="1"/>
        </w:numPr>
        <w:spacing w:after="80"/>
      </w:pPr>
      <w:r>
        <w:t xml:space="preserve">Service Providers: CROs, site networks, biomarker labs, regulatory consultants</w:t>
      </w:r>
    </w:p>
    <w:p>
      <w:pPr>
        <w:pStyle w:val="ListParagraph"/>
        <w:numPr>
          <w:ilvl w:val="0"/>
          <w:numId w:val="1"/>
        </w:numPr>
        <w:spacing w:after="400"/>
      </w:pPr>
      <w:r>
        <w:t xml:space="preserve">Investors/Partners: Venture capital, pharma licensing partners, government grants</w:t>
      </w:r>
    </w:p>
    <w:p>
      <w:pPr>
        <w:spacing w:after="200"/>
      </w:pPr>
      <w:r>
        <w:t xml:space="preserve">10. Competitive Intelligence &amp; Awareness</w:t>
      </w:r>
    </w:p>
    <w:p>
      <w:pPr>
        <w:spacing w:after="200"/>
      </w:pPr>
      <w:r>
        <w:t xml:space="preserve">Dr. Sherrington maintains detailed competitive files on rival Kv7 programs (Biohaven's opakalin, others) and broader antiseizure drug landscape. She tracks regulatory submissions, trial enrollment metrics, safety data releases, and partnership announcements from competitors. She is acutely aware of the threat posed by incumbent ASDs from major pharma (Janssen, UCB, Eisai) and smaller biotech entrants. She monitors patent landscapes, especially Kv7-specific IP, to ensure Xenon's freedom to operate. She also follows emerging MDD treatment modalities (psilocybin, ketamine derivatives, new antidepressants) to contextualize Xenon's dual-indication strategy. Competitive threats are discussed monthly in strategy forums.</w:t>
      </w:r>
    </w:p>
    <w:p>
      <w:pPr>
        <w:spacing w:after="100"/>
      </w:pPr>
      <w:r>
        <w:t xml:space="preserve">Competitive Monitoring Focus:</w:t>
      </w:r>
    </w:p>
    <w:p>
      <w:pPr>
        <w:pStyle w:val="ListParagraph"/>
        <w:numPr>
          <w:ilvl w:val="0"/>
          <w:numId w:val="1"/>
        </w:numPr>
        <w:spacing w:after="80"/>
      </w:pPr>
      <w:r>
        <w:t xml:space="preserve">Rival Kv7 programs (clinical stage, mechanism, trial design)</w:t>
      </w:r>
    </w:p>
    <w:p>
      <w:pPr>
        <w:pStyle w:val="ListParagraph"/>
        <w:numPr>
          <w:ilvl w:val="0"/>
          <w:numId w:val="1"/>
        </w:numPr>
        <w:spacing w:after="80"/>
      </w:pPr>
      <w:r>
        <w:t xml:space="preserve">Broader antiseizure drug approvals and label expansions</w:t>
      </w:r>
    </w:p>
    <w:p>
      <w:pPr>
        <w:pStyle w:val="ListParagraph"/>
        <w:numPr>
          <w:ilvl w:val="0"/>
          <w:numId w:val="1"/>
        </w:numPr>
        <w:spacing w:after="80"/>
      </w:pPr>
      <w:r>
        <w:t xml:space="preserve">Emerging MDD treatment modalities and competitive positioning</w:t>
      </w:r>
    </w:p>
    <w:p>
      <w:pPr>
        <w:pStyle w:val="ListParagraph"/>
        <w:numPr>
          <w:ilvl w:val="0"/>
          <w:numId w:val="1"/>
        </w:numPr>
        <w:spacing w:after="400"/>
      </w:pPr>
      <w:r>
        <w:t xml:space="preserve">Patent landscapes and freedom-to-operate analyses</w:t>
      </w:r>
    </w:p>
    <w:p>
      <w:pPr>
        <w:spacing w:after="200"/>
      </w:pPr>
      <w:r>
        <w:t xml:space="preserve">11. Long-Term Vision &amp; Legacy</w:t>
      </w:r>
    </w:p>
    <w:p>
      <w:pPr>
        <w:spacing w:after="200"/>
      </w:pPr>
      <w:r>
        <w:t xml:space="preserve">Dr. Sherrington envisions Xenon as the preeminent ion channel platform company in neurology, with azetukalner as a flagship product spanning focal seizures and MDD. She sees a future where the Kv7 and broader Kv channel platform enable precision neuropsychiatry, with biomarker-guided patient stratification. Long-term, she aspires to establish Xenon as a leader in mechanistic neuroscience—moving beyond symptom management toward circuit restoration. She hopes her work will revive interest in ion channels as drug targets and demonstrate the commercial viability of first-in-class mechanisms. Personally, she seeks to mentor the next generation of biotech scientists and maintain Xenon's independence through Phase 3 readouts and beyond.</w:t>
      </w:r>
    </w:p>
    <w:p>
      <w:pPr>
        <w:spacing w:after="100"/>
      </w:pPr>
      <w:r>
        <w:t xml:space="preserve">Aspirational Goals:</w:t>
      </w:r>
    </w:p>
    <w:p>
      <w:pPr>
        <w:pStyle w:val="ListParagraph"/>
        <w:numPr>
          <w:ilvl w:val="0"/>
          <w:numId w:val="1"/>
        </w:numPr>
        <w:spacing w:after="80"/>
      </w:pPr>
      <w:r>
        <w:t xml:space="preserve">Establish Xenon as the premier Kv7 and ion channel platform company</w:t>
      </w:r>
    </w:p>
    <w:p>
      <w:pPr>
        <w:pStyle w:val="ListParagraph"/>
        <w:numPr>
          <w:ilvl w:val="0"/>
          <w:numId w:val="1"/>
        </w:numPr>
        <w:spacing w:after="80"/>
      </w:pPr>
      <w:r>
        <w:t xml:space="preserve">Drive azetukalner to approval and market success across dual indications</w:t>
      </w:r>
    </w:p>
    <w:p>
      <w:pPr>
        <w:pStyle w:val="ListParagraph"/>
        <w:numPr>
          <w:ilvl w:val="0"/>
          <w:numId w:val="1"/>
        </w:numPr>
        <w:spacing w:after="80"/>
      </w:pPr>
      <w:r>
        <w:t xml:space="preserve">Pioneer precision neuropsychiatry with biomarker-driven patient stratification</w:t>
      </w:r>
    </w:p>
    <w:p>
      <w:pPr>
        <w:pStyle w:val="ListParagraph"/>
        <w:numPr>
          <w:ilvl w:val="0"/>
          <w:numId w:val="1"/>
        </w:numPr>
        <w:spacing w:after="400"/>
      </w:pPr>
      <w:r>
        <w:t xml:space="preserve">Mentor emerging biotech leaders in mechanistic neuroscience</w:t>
      </w:r>
    </w:p>
    <w:p>
      <w:pPr>
        <w:spacing w:after="200"/>
      </w:pPr>
      <w:r>
        <w:t xml:space="preserve">12. Relevant Quotes &amp; Perspectives</w:t>
      </w:r>
    </w:p>
    <w:p>
      <w:pPr>
        <w:spacing w:after="200"/>
      </w:pPr>
      <w:r>
        <w:t xml:space="preserve">"Ion channels remain one of the last great frontiers in neuropharmacology. We have the science, the clinical validation, and now the platform to unlock their therapeutic potential. Azetukalner is just the beginning."</w:t>
      </w:r>
    </w:p>
    <w:p>
      <w:pPr>
        <w:spacing w:after="200"/>
      </w:pPr>
      <w:r>
        <w:t xml:space="preserve">"The focal seizure plus MDD dual indication is not a marketing gimmick—it reflects the biological reality of epilepsy comorbidities. We are designed to address unmet need, not to chase market size."</w:t>
      </w:r>
    </w:p>
    <w:p>
      <w:pPr>
        <w:spacing w:after="200"/>
      </w:pPr>
      <w:r>
        <w:t xml:space="preserve">"Long-term safety data is the currency of clinical credibility. Our 48-month OLE cohort will speak for itself—either we succeed or we don't. There are no shortcuts."</w:t>
      </w:r>
    </w:p>
    <w:p>
      <w:pPr>
        <w:spacing w:after="200"/>
      </w:pPr>
      <w:r>
        <w:t xml:space="preserve">"First-in-class is a gift and a curse. We own the space, but we also own the burden of proof. Every data point we generate will be scrutinized. That is exactly as it should be."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2026-02-18T13:14:04.694Z</dcterms:created>
  <dcterms:modified xsi:type="dcterms:W3CDTF">2026-02-18T13:14:04.694Z</dcterms:modified>
</cp:coreProperties>
</file>

<file path=docProps/custom.xml><?xml version="1.0" encoding="utf-8"?>
<Properties xmlns="http://schemas.openxmlformats.org/officeDocument/2006/custom-properties" xmlns:vt="http://schemas.openxmlformats.org/officeDocument/2006/docPropsVTypes"/>
</file>