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#011: DEE Gene Dose-Response Analysis via CRISPRn Knockdown Efficiency</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dataset, identify DEE genes whose CRISPRn knockout phenotype shows dose-dependent effects by comparing heterozygous versus homozygous knockdown efficiency levels (if available from guide RNA titration data) with corresponding changes in Optopatch excitability parameters.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To systematically identify developmental epileptic encephalopathy (DEE) genes from the Angelini dataset that exhibit dose-dependent phenotypic responses in heterozygous versus homozygous CRISPR knockdown conditions, correlating knockdown efficiency levels with quantitative changes in Optopatch-derived excitability metrics.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Advanced bioinformatics analysis requiring integration of CRISPRn screening data, guide RNA titration metrics, neurophysiology phenotyping, and dose-response modeling across a large cohort of DEE candidate genes.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consolidate the Angelini dataset containing DEE-associated genes, CRISPRn knockout screening results, guide RNA titration data, and corresponding Optopatch electrophysiology phenotypes. Establish baseline parameters for heterozygous and homozygous knockdown conditions.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dataset gene list and annotation files</w:t>
      </w:r>
    </w:p>
    <w:p>
      <w:pPr>
        <w:pStyle w:val="ListParagraph"/>
        <w:numPr>
          <w:ilvl w:val="0"/>
          <w:numId w:val="2"/>
        </w:numPr>
      </w:pPr>
      <w:r>
        <w:rPr>
          <w:rFonts w:ascii="Arial" w:cs="Arial" w:eastAsia="Arial" w:hAnsi="Arial"/>
          <w:sz w:val="24"/>
          <w:szCs w:val="24"/>
        </w:rPr>
        <w:t xml:space="preserve">CRISPRn knockout screening raw data matrix</w:t>
      </w:r>
    </w:p>
    <w:p>
      <w:pPr>
        <w:pStyle w:val="ListParagraph"/>
        <w:numPr>
          <w:ilvl w:val="0"/>
          <w:numId w:val="2"/>
        </w:numPr>
      </w:pPr>
      <w:r>
        <w:rPr>
          <w:rFonts w:ascii="Arial" w:cs="Arial" w:eastAsia="Arial" w:hAnsi="Arial"/>
          <w:sz w:val="24"/>
          <w:szCs w:val="24"/>
        </w:rPr>
        <w:t xml:space="preserve">Guide RNA titration efficiency metrics (quantitative knockdown levels)</w:t>
      </w:r>
    </w:p>
    <w:p>
      <w:pPr>
        <w:pStyle w:val="ListParagraph"/>
        <w:numPr>
          <w:ilvl w:val="0"/>
          <w:numId w:val="2"/>
        </w:numPr>
      </w:pPr>
      <w:r>
        <w:rPr>
          <w:rFonts w:ascii="Arial" w:cs="Arial" w:eastAsia="Arial" w:hAnsi="Arial"/>
          <w:sz w:val="24"/>
          <w:szCs w:val="24"/>
        </w:rPr>
        <w:t xml:space="preserve">Optopatch excitability recordings and derived parameters</w:t>
      </w:r>
    </w:p>
    <w:p>
      <w:pPr>
        <w:pStyle w:val="ListParagraph"/>
        <w:numPr>
          <w:ilvl w:val="0"/>
          <w:numId w:val="2"/>
        </w:numPr>
      </w:pPr>
      <w:r>
        <w:rPr>
          <w:rFonts w:ascii="Arial" w:cs="Arial" w:eastAsia="Arial" w:hAnsi="Arial"/>
          <w:sz w:val="24"/>
          <w:szCs w:val="24"/>
        </w:rPr>
        <w:t xml:space="preserve">Sample metadata including cell type, experimental conditions, and replicates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NCBI Gene database for gene nomenclature validation and cross-referencing</w:t>
      </w:r>
    </w:p>
    <w:p>
      <w:pPr>
        <w:pStyle w:val="ListParagraph"/>
        <w:numPr>
          <w:ilvl w:val="0"/>
          <w:numId w:val="2"/>
        </w:numPr>
      </w:pPr>
      <w:r>
        <w:rPr>
          <w:rFonts w:ascii="Arial" w:cs="Arial" w:eastAsia="Arial" w:hAnsi="Arial"/>
          <w:sz w:val="24"/>
          <w:szCs w:val="24"/>
        </w:rPr>
        <w:t xml:space="preserve">Bioconductive Data Repository (BDR) for Angelini dataset access and download</w:t>
      </w:r>
    </w:p>
    <w:p>
      <w:pPr>
        <w:pStyle w:val="ListParagraph"/>
        <w:numPr>
          <w:ilvl w:val="0"/>
          <w:numId w:val="2"/>
        </w:numPr>
      </w:pPr>
      <w:r>
        <w:rPr>
          <w:rFonts w:ascii="Arial" w:cs="Arial" w:eastAsia="Arial" w:hAnsi="Arial"/>
          <w:sz w:val="24"/>
          <w:szCs w:val="24"/>
        </w:rPr>
        <w:t xml:space="preserve">R/Bioconductor packages (DESeq2 for initial data quality assessment)</w:t>
      </w:r>
    </w:p>
    <w:p>
      <w:pPr>
        <w:pStyle w:val="ListParagraph"/>
        <w:numPr>
          <w:ilvl w:val="0"/>
          <w:numId w:val="2"/>
        </w:numPr>
      </w:pPr>
      <w:r>
        <w:rPr>
          <w:rFonts w:ascii="Arial" w:cs="Arial" w:eastAsia="Arial" w:hAnsi="Arial"/>
          <w:sz w:val="24"/>
          <w:szCs w:val="24"/>
        </w:rPr>
        <w:t xml:space="preserve">FastQC for sequence quality metrics from guide RNA data</w:t>
      </w:r>
    </w:p>
    <w:p>
      <w:pPr>
        <w:pStyle w:val="ListParagraph"/>
        <w:numPr>
          <w:ilvl w:val="0"/>
          <w:numId w:val="2"/>
        </w:numPr>
      </w:pPr>
      <w:r>
        <w:rPr>
          <w:rFonts w:ascii="Arial" w:cs="Arial" w:eastAsia="Arial" w:hAnsi="Arial"/>
          <w:sz w:val="24"/>
          <w:szCs w:val="24"/>
        </w:rPr>
        <w:t xml:space="preserve">Galaxy workflow management system for data organization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Angelini DEE genes have complete CRISPRn knockdown efficiency data for both heterozygous and homozygous conditions?</w:t>
      </w:r>
    </w:p>
    <w:p>
      <w:pPr>
        <w:pStyle w:val="ListParagraph"/>
        <w:numPr>
          <w:ilvl w:val="0"/>
          <w:numId w:val="2"/>
        </w:numPr>
      </w:pPr>
      <w:r>
        <w:rPr>
          <w:rFonts w:ascii="Arial" w:cs="Arial" w:eastAsia="Arial" w:hAnsi="Arial"/>
          <w:i/>
          <w:iCs/>
          <w:sz w:val="24"/>
          <w:szCs w:val="24"/>
        </w:rPr>
        <w:t xml:space="preserve">What is the distribution of guide RNA titration values across the dataset, and how do they segregate by gene and knockdown intensity?</w:t>
      </w:r>
    </w:p>
    <w:p>
      <w:pPr>
        <w:pStyle w:val="ListParagraph"/>
        <w:numPr>
          <w:ilvl w:val="0"/>
          <w:numId w:val="2"/>
        </w:numPr>
      </w:pPr>
      <w:r>
        <w:rPr>
          <w:rFonts w:ascii="Arial" w:cs="Arial" w:eastAsia="Arial" w:hAnsi="Arial"/>
          <w:i/>
          <w:iCs/>
          <w:sz w:val="24"/>
          <w:szCs w:val="24"/>
        </w:rPr>
        <w:t xml:space="preserve">Are there replicate Optopatch recordings available for each condition, and what is the statistical power for dose-response detection?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Consolidated table of all DEE genes with CRISPRn screening identifiers and metadata</w:t>
      </w:r>
    </w:p>
    <w:p>
      <w:pPr>
        <w:pStyle w:val="ListParagraph"/>
        <w:numPr>
          <w:ilvl w:val="0"/>
          <w:numId w:val="2"/>
        </w:numPr>
      </w:pPr>
      <w:r>
        <w:rPr>
          <w:rFonts w:ascii="Arial" w:cs="Arial" w:eastAsia="Arial" w:hAnsi="Arial"/>
          <w:sz w:val="24"/>
          <w:szCs w:val="24"/>
        </w:rPr>
        <w:t xml:space="preserve">Guide RNA titration efficiency matrix (normalized knockdown levels by guide and condition)</w:t>
      </w:r>
    </w:p>
    <w:p>
      <w:pPr>
        <w:pStyle w:val="ListParagraph"/>
        <w:numPr>
          <w:ilvl w:val="0"/>
          <w:numId w:val="2"/>
        </w:numPr>
      </w:pPr>
      <w:r>
        <w:rPr>
          <w:rFonts w:ascii="Arial" w:cs="Arial" w:eastAsia="Arial" w:hAnsi="Arial"/>
          <w:sz w:val="24"/>
          <w:szCs w:val="24"/>
        </w:rPr>
        <w:t xml:space="preserve">Optopatch phenotype dataset with baseline metrics per gene and condition</w:t>
      </w:r>
    </w:p>
    <w:p>
      <w:pPr>
        <w:pStyle w:val="ListParagraph"/>
        <w:numPr>
          <w:ilvl w:val="0"/>
          <w:numId w:val="2"/>
        </w:numPr>
      </w:pPr>
      <w:r>
        <w:rPr>
          <w:rFonts w:ascii="Arial" w:cs="Arial" w:eastAsia="Arial" w:hAnsi="Arial"/>
          <w:sz w:val="24"/>
          <w:szCs w:val="24"/>
        </w:rPr>
        <w:t xml:space="preserve">Quality control report documenting data completeness and reproducibility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Tabular data in CSV and RDS format; QC report in HTML; raw sequencing FASTQ files archived</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and normalize knockdown efficiency values from guide RNA titration data, classify genes into heterozygous, homozygous, and intermediate knockdown efficiency categories. Standardize Optopatch parameters (e.g., action potential amplitude, frequency, threshold, kinetics) across replicates and experimental batches.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guide RNA titration efficiency measurements</w:t>
      </w:r>
    </w:p>
    <w:p>
      <w:pPr>
        <w:pStyle w:val="ListParagraph"/>
        <w:numPr>
          <w:ilvl w:val="0"/>
          <w:numId w:val="2"/>
        </w:numPr>
      </w:pPr>
      <w:r>
        <w:rPr>
          <w:rFonts w:ascii="Arial" w:cs="Arial" w:eastAsia="Arial" w:hAnsi="Arial"/>
          <w:sz w:val="24"/>
          <w:szCs w:val="24"/>
        </w:rPr>
        <w:t xml:space="preserve">Knockdown percentage calculations per guide and target gene</w:t>
      </w:r>
    </w:p>
    <w:p>
      <w:pPr>
        <w:pStyle w:val="ListParagraph"/>
        <w:numPr>
          <w:ilvl w:val="0"/>
          <w:numId w:val="2"/>
        </w:numPr>
      </w:pPr>
      <w:r>
        <w:rPr>
          <w:rFonts w:ascii="Arial" w:cs="Arial" w:eastAsia="Arial" w:hAnsi="Arial"/>
          <w:sz w:val="24"/>
          <w:szCs w:val="24"/>
        </w:rPr>
        <w:t xml:space="preserve">Optopatch raw electrophysiology recordings in ABF or HDF5 format</w:t>
      </w:r>
    </w:p>
    <w:p>
      <w:pPr>
        <w:pStyle w:val="ListParagraph"/>
        <w:numPr>
          <w:ilvl w:val="0"/>
          <w:numId w:val="2"/>
        </w:numPr>
      </w:pPr>
      <w:r>
        <w:rPr>
          <w:rFonts w:ascii="Arial" w:cs="Arial" w:eastAsia="Arial" w:hAnsi="Arial"/>
          <w:sz w:val="24"/>
          <w:szCs w:val="24"/>
        </w:rPr>
        <w:t xml:space="preserve">Experimental batch identifiers and technical covariate metadata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Patchmaster software for ABF file conversion and preprocessing</w:t>
      </w:r>
    </w:p>
    <w:p>
      <w:pPr>
        <w:pStyle w:val="ListParagraph"/>
        <w:numPr>
          <w:ilvl w:val="0"/>
          <w:numId w:val="2"/>
        </w:numPr>
      </w:pPr>
      <w:r>
        <w:rPr>
          <w:rFonts w:ascii="Arial" w:cs="Arial" w:eastAsia="Arial" w:hAnsi="Arial"/>
          <w:sz w:val="24"/>
          <w:szCs w:val="24"/>
        </w:rPr>
        <w:t xml:space="preserve">Signal processing toolkit (custom R or Python scripts) for feature extraction from Optopatch data</w:t>
      </w:r>
    </w:p>
    <w:p>
      <w:pPr>
        <w:pStyle w:val="ListParagraph"/>
        <w:numPr>
          <w:ilvl w:val="0"/>
          <w:numId w:val="2"/>
        </w:numPr>
      </w:pPr>
      <w:r>
        <w:rPr>
          <w:rFonts w:ascii="Arial" w:cs="Arial" w:eastAsia="Arial" w:hAnsi="Arial"/>
          <w:sz w:val="24"/>
          <w:szCs w:val="24"/>
        </w:rPr>
        <w:t xml:space="preserve">ComBat-Seq for batch effect correction across electrophysiology recordings</w:t>
      </w:r>
    </w:p>
    <w:p>
      <w:pPr>
        <w:pStyle w:val="ListParagraph"/>
        <w:numPr>
          <w:ilvl w:val="0"/>
          <w:numId w:val="2"/>
        </w:numPr>
      </w:pPr>
      <w:r>
        <w:rPr>
          <w:rFonts w:ascii="Arial" w:cs="Arial" w:eastAsia="Arial" w:hAnsi="Arial"/>
          <w:sz w:val="24"/>
          <w:szCs w:val="24"/>
        </w:rPr>
        <w:t xml:space="preserve">edgeR or DESeq2 for normalization of knockdown efficiency data</w:t>
      </w:r>
    </w:p>
    <w:p>
      <w:pPr>
        <w:pStyle w:val="ListParagraph"/>
        <w:numPr>
          <w:ilvl w:val="0"/>
          <w:numId w:val="2"/>
        </w:numPr>
      </w:pPr>
      <w:r>
        <w:rPr>
          <w:rFonts w:ascii="Arial" w:cs="Arial" w:eastAsia="Arial" w:hAnsi="Arial"/>
          <w:sz w:val="24"/>
          <w:szCs w:val="24"/>
        </w:rPr>
        <w:t xml:space="preserve">SciPy and NumPy for statistical standardization of phenotypic metrics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should guide RNA efficiency measurements be normalized relative to positive and negative controls?</w:t>
      </w:r>
    </w:p>
    <w:p>
      <w:pPr>
        <w:pStyle w:val="ListParagraph"/>
        <w:numPr>
          <w:ilvl w:val="0"/>
          <w:numId w:val="2"/>
        </w:numPr>
      </w:pPr>
      <w:r>
        <w:rPr>
          <w:rFonts w:ascii="Arial" w:cs="Arial" w:eastAsia="Arial" w:hAnsi="Arial"/>
          <w:i/>
          <w:iCs/>
          <w:sz w:val="24"/>
          <w:szCs w:val="24"/>
        </w:rPr>
        <w:t xml:space="preserve">Which Optopatch parameters are most variable across replicates, and how should technical noise be distinguished from biological signal?</w:t>
      </w:r>
    </w:p>
    <w:p>
      <w:pPr>
        <w:pStyle w:val="ListParagraph"/>
        <w:numPr>
          <w:ilvl w:val="0"/>
          <w:numId w:val="2"/>
        </w:numPr>
      </w:pPr>
      <w:r>
        <w:rPr>
          <w:rFonts w:ascii="Arial" w:cs="Arial" w:eastAsia="Arial" w:hAnsi="Arial"/>
          <w:i/>
          <w:iCs/>
          <w:sz w:val="24"/>
          <w:szCs w:val="24"/>
        </w:rPr>
        <w:t xml:space="preserve">What quantile-based or loess normalization approach best removes batch effects while preserving dose-response trends?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Normalized knockdown efficiency matrix (0-100% scale) indexed by gene, guide RNA, and condition</w:t>
      </w:r>
    </w:p>
    <w:p>
      <w:pPr>
        <w:pStyle w:val="ListParagraph"/>
        <w:numPr>
          <w:ilvl w:val="0"/>
          <w:numId w:val="2"/>
        </w:numPr>
      </w:pPr>
      <w:r>
        <w:rPr>
          <w:rFonts w:ascii="Arial" w:cs="Arial" w:eastAsia="Arial" w:hAnsi="Arial"/>
          <w:sz w:val="24"/>
          <w:szCs w:val="24"/>
        </w:rPr>
        <w:t xml:space="preserve">Processed Optopatch metrics table with action potential amplitude, frequency, threshold, rise time, and fall time</w:t>
      </w:r>
    </w:p>
    <w:p>
      <w:pPr>
        <w:pStyle w:val="ListParagraph"/>
        <w:numPr>
          <w:ilvl w:val="0"/>
          <w:numId w:val="2"/>
        </w:numPr>
      </w:pPr>
      <w:r>
        <w:rPr>
          <w:rFonts w:ascii="Arial" w:cs="Arial" w:eastAsia="Arial" w:hAnsi="Arial"/>
          <w:sz w:val="24"/>
          <w:szCs w:val="24"/>
        </w:rPr>
        <w:t xml:space="preserve">Batch-corrected feature matrix for dose-response modeling</w:t>
      </w:r>
    </w:p>
    <w:p>
      <w:pPr>
        <w:pStyle w:val="ListParagraph"/>
        <w:numPr>
          <w:ilvl w:val="0"/>
          <w:numId w:val="2"/>
        </w:numPr>
      </w:pPr>
      <w:r>
        <w:rPr>
          <w:rFonts w:ascii="Arial" w:cs="Arial" w:eastAsia="Arial" w:hAnsi="Arial"/>
          <w:sz w:val="24"/>
          <w:szCs w:val="24"/>
        </w:rPr>
        <w:t xml:space="preserve">Technical covariate adjustment factors and residual variance by experimental run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TSV files with row and column annotations; processed electrophysiology in standardized CSV format; batch correction coefficients in JSON</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dose-response curve fitting for each gene by regressing Optopatch phenotypic changes against knockdown efficiency levels. Test for significant dose-dependent effects comparing heterozygous versus homozygous conditions. Identify genes with linear, sigmoidal, or non-monotonic dose-response relationships.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Normalized knockdown efficiency matrix by gene and condition</w:t>
      </w:r>
    </w:p>
    <w:p>
      <w:pPr>
        <w:pStyle w:val="ListParagraph"/>
        <w:numPr>
          <w:ilvl w:val="0"/>
          <w:numId w:val="2"/>
        </w:numPr>
      </w:pPr>
      <w:r>
        <w:rPr>
          <w:rFonts w:ascii="Arial" w:cs="Arial" w:eastAsia="Arial" w:hAnsi="Arial"/>
          <w:sz w:val="24"/>
          <w:szCs w:val="24"/>
        </w:rPr>
        <w:t xml:space="preserve">Standardized Optopatch metrics for action potential and excitability phenotypes</w:t>
      </w:r>
    </w:p>
    <w:p>
      <w:pPr>
        <w:pStyle w:val="ListParagraph"/>
        <w:numPr>
          <w:ilvl w:val="0"/>
          <w:numId w:val="2"/>
        </w:numPr>
      </w:pPr>
      <w:r>
        <w:rPr>
          <w:rFonts w:ascii="Arial" w:cs="Arial" w:eastAsia="Arial" w:hAnsi="Arial"/>
          <w:sz w:val="24"/>
          <w:szCs w:val="24"/>
        </w:rPr>
        <w:t xml:space="preserve">Condition assignments (heterozygous vs. homozygous knockdown)</w:t>
      </w:r>
    </w:p>
    <w:p>
      <w:pPr>
        <w:pStyle w:val="ListParagraph"/>
        <w:numPr>
          <w:ilvl w:val="0"/>
          <w:numId w:val="2"/>
        </w:numPr>
      </w:pPr>
      <w:r>
        <w:rPr>
          <w:rFonts w:ascii="Arial" w:cs="Arial" w:eastAsia="Arial" w:hAnsi="Arial"/>
          <w:sz w:val="24"/>
          <w:szCs w:val="24"/>
        </w:rPr>
        <w:t xml:space="preserve">Replicate structure and hierarchical nesting</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drc (dose-response curves) package for four-parameter logistic and Hill equation modeling</w:t>
      </w:r>
    </w:p>
    <w:p>
      <w:pPr>
        <w:pStyle w:val="ListParagraph"/>
        <w:numPr>
          <w:ilvl w:val="0"/>
          <w:numId w:val="2"/>
        </w:numPr>
      </w:pPr>
      <w:r>
        <w:rPr>
          <w:rFonts w:ascii="Arial" w:cs="Arial" w:eastAsia="Arial" w:hAnsi="Arial"/>
          <w:sz w:val="24"/>
          <w:szCs w:val="24"/>
        </w:rPr>
        <w:t xml:space="preserve">nlme or lme4 for mixed-effects dose-response regression with random effects per cell line or replicate</w:t>
      </w:r>
    </w:p>
    <w:p>
      <w:pPr>
        <w:pStyle w:val="ListParagraph"/>
        <w:numPr>
          <w:ilvl w:val="0"/>
          <w:numId w:val="2"/>
        </w:numPr>
      </w:pPr>
      <w:r>
        <w:rPr>
          <w:rFonts w:ascii="Arial" w:cs="Arial" w:eastAsia="Arial" w:hAnsi="Arial"/>
          <w:sz w:val="24"/>
          <w:szCs w:val="24"/>
        </w:rPr>
        <w:t xml:space="preserve">ggplot2 and plotly for dose-response curve visualization</w:t>
      </w:r>
    </w:p>
    <w:p>
      <w:pPr>
        <w:pStyle w:val="ListParagraph"/>
        <w:numPr>
          <w:ilvl w:val="0"/>
          <w:numId w:val="2"/>
        </w:numPr>
      </w:pPr>
      <w:r>
        <w:rPr>
          <w:rFonts w:ascii="Arial" w:cs="Arial" w:eastAsia="Arial" w:hAnsi="Arial"/>
          <w:sz w:val="24"/>
          <w:szCs w:val="24"/>
        </w:rPr>
        <w:t xml:space="preserve">Comparison-of-Models framework (AIC, BIC) for selecting best-fit dose-response models</w:t>
      </w:r>
    </w:p>
    <w:p>
      <w:pPr>
        <w:pStyle w:val="ListParagraph"/>
        <w:numPr>
          <w:ilvl w:val="0"/>
          <w:numId w:val="2"/>
        </w:numPr>
      </w:pPr>
      <w:r>
        <w:rPr>
          <w:rFonts w:ascii="Arial" w:cs="Arial" w:eastAsia="Arial" w:hAnsi="Arial"/>
          <w:sz w:val="24"/>
          <w:szCs w:val="24"/>
        </w:rPr>
        <w:t xml:space="preserve">Custom R scripts implementing bootstrapped confidence intervals for EC50 and Hill coefficients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DEE gene, what is the optimal mathematical model describing the relationship between knockdown efficiency and Optopatch phenotype magnitude?</w:t>
      </w:r>
    </w:p>
    <w:p>
      <w:pPr>
        <w:pStyle w:val="ListParagraph"/>
        <w:numPr>
          <w:ilvl w:val="0"/>
          <w:numId w:val="2"/>
        </w:numPr>
      </w:pPr>
      <w:r>
        <w:rPr>
          <w:rFonts w:ascii="Arial" w:cs="Arial" w:eastAsia="Arial" w:hAnsi="Arial"/>
          <w:i/>
          <w:iCs/>
          <w:sz w:val="24"/>
          <w:szCs w:val="24"/>
        </w:rPr>
        <w:t xml:space="preserve">Which genes show statistically significant differences in dose-response curves between heterozygous and homozygous conditions?</w:t>
      </w:r>
    </w:p>
    <w:p>
      <w:pPr>
        <w:pStyle w:val="ListParagraph"/>
        <w:numPr>
          <w:ilvl w:val="0"/>
          <w:numId w:val="2"/>
        </w:numPr>
      </w:pPr>
      <w:r>
        <w:rPr>
          <w:rFonts w:ascii="Arial" w:cs="Arial" w:eastAsia="Arial" w:hAnsi="Arial"/>
          <w:i/>
          <w:iCs/>
          <w:sz w:val="24"/>
          <w:szCs w:val="24"/>
        </w:rPr>
        <w:t xml:space="preserve">What is the estimated EC50 (knockdown efficiency producing half-maximal phenotypic effect) and Hill coefficient (cooperativity) for each gene?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Dose-response curve parameters table (EC50, Hill coefficient, min/max phenotype) per gene and Optopatch metric</w:t>
      </w:r>
    </w:p>
    <w:p>
      <w:pPr>
        <w:pStyle w:val="ListParagraph"/>
        <w:numPr>
          <w:ilvl w:val="0"/>
          <w:numId w:val="2"/>
        </w:numPr>
      </w:pPr>
      <w:r>
        <w:rPr>
          <w:rFonts w:ascii="Arial" w:cs="Arial" w:eastAsia="Arial" w:hAnsi="Arial"/>
          <w:sz w:val="24"/>
          <w:szCs w:val="24"/>
        </w:rPr>
        <w:t xml:space="preserve">Statistical test results for heterozygous vs. homozygous dose-response comparison (ANOVA, t-tests, or Bayesian model comparison)</w:t>
      </w:r>
    </w:p>
    <w:p>
      <w:pPr>
        <w:pStyle w:val="ListParagraph"/>
        <w:numPr>
          <w:ilvl w:val="0"/>
          <w:numId w:val="2"/>
        </w:numPr>
      </w:pPr>
      <w:r>
        <w:rPr>
          <w:rFonts w:ascii="Arial" w:cs="Arial" w:eastAsia="Arial" w:hAnsi="Arial"/>
          <w:sz w:val="24"/>
          <w:szCs w:val="24"/>
        </w:rPr>
        <w:t xml:space="preserve">Fitted dose-response curves in R model object format and publication-quality plots (PDF, PNG)</w:t>
      </w:r>
    </w:p>
    <w:p>
      <w:pPr>
        <w:pStyle w:val="ListParagraph"/>
        <w:numPr>
          <w:ilvl w:val="0"/>
          <w:numId w:val="2"/>
        </w:numPr>
      </w:pPr>
      <w:r>
        <w:rPr>
          <w:rFonts w:ascii="Arial" w:cs="Arial" w:eastAsia="Arial" w:hAnsi="Arial"/>
          <w:sz w:val="24"/>
          <w:szCs w:val="24"/>
        </w:rPr>
        <w:t xml:space="preserve">Classification of genes into dose-dependent vs. dose-independent phenotype categories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Model summary tables in TSV; fitted curves as RDS objects; visualization as multi-panel PDF with 165+ diagnostic plots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dose-response findings using independent statistical frameworks and orthogonal phenotypic measures. Compare dose-response patterns to known epilepsy gene functional annotations and channel properties. Assess robustness of heterozygous vs. homozygous classifications and identify potential confounding variables.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Fitted dose-response parameters from Stage 3</w:t>
      </w:r>
    </w:p>
    <w:p>
      <w:pPr>
        <w:pStyle w:val="ListParagraph"/>
        <w:numPr>
          <w:ilvl w:val="0"/>
          <w:numId w:val="2"/>
        </w:numPr>
      </w:pPr>
      <w:r>
        <w:rPr>
          <w:rFonts w:ascii="Arial" w:cs="Arial" w:eastAsia="Arial" w:hAnsi="Arial"/>
          <w:sz w:val="24"/>
          <w:szCs w:val="24"/>
        </w:rPr>
        <w:t xml:space="preserve">Raw Optopatch data for sensitivity analyses across alternative metrics</w:t>
      </w:r>
    </w:p>
    <w:p>
      <w:pPr>
        <w:pStyle w:val="ListParagraph"/>
        <w:numPr>
          <w:ilvl w:val="0"/>
          <w:numId w:val="2"/>
        </w:numPr>
      </w:pPr>
      <w:r>
        <w:rPr>
          <w:rFonts w:ascii="Arial" w:cs="Arial" w:eastAsia="Arial" w:hAnsi="Arial"/>
          <w:sz w:val="24"/>
          <w:szCs w:val="24"/>
        </w:rPr>
        <w:t xml:space="preserve">Gene annotation databases (UniProt, Gene Ontology, ClinVar) for epilepsy associations</w:t>
      </w:r>
    </w:p>
    <w:p>
      <w:pPr>
        <w:pStyle w:val="ListParagraph"/>
        <w:numPr>
          <w:ilvl w:val="0"/>
          <w:numId w:val="2"/>
        </w:numPr>
      </w:pPr>
      <w:r>
        <w:rPr>
          <w:rFonts w:ascii="Arial" w:cs="Arial" w:eastAsia="Arial" w:hAnsi="Arial"/>
          <w:sz w:val="24"/>
          <w:szCs w:val="24"/>
        </w:rPr>
        <w:t xml:space="preserve">Ion channel classification and biophysical property databases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Sensitivity analysis scripts testing dose-response stability across different normalization methods</w:t>
      </w:r>
    </w:p>
    <w:p>
      <w:pPr>
        <w:pStyle w:val="ListParagraph"/>
        <w:numPr>
          <w:ilvl w:val="0"/>
          <w:numId w:val="2"/>
        </w:numPr>
      </w:pPr>
      <w:r>
        <w:rPr>
          <w:rFonts w:ascii="Arial" w:cs="Arial" w:eastAsia="Arial" w:hAnsi="Arial"/>
          <w:sz w:val="24"/>
          <w:szCs w:val="24"/>
        </w:rPr>
        <w:t xml:space="preserve">GSEA (Gene Set Enrichment Analysis) for functional annotation of dose-dependent genes</w:t>
      </w:r>
    </w:p>
    <w:p>
      <w:pPr>
        <w:pStyle w:val="ListParagraph"/>
        <w:numPr>
          <w:ilvl w:val="0"/>
          <w:numId w:val="2"/>
        </w:numPr>
      </w:pPr>
      <w:r>
        <w:rPr>
          <w:rFonts w:ascii="Arial" w:cs="Arial" w:eastAsia="Arial" w:hAnsi="Arial"/>
          <w:sz w:val="24"/>
          <w:szCs w:val="24"/>
        </w:rPr>
        <w:t xml:space="preserve">ClinVar database queries for known epilepsy associations and clinical variant classifications</w:t>
      </w:r>
    </w:p>
    <w:p>
      <w:pPr>
        <w:pStyle w:val="ListParagraph"/>
        <w:numPr>
          <w:ilvl w:val="0"/>
          <w:numId w:val="2"/>
        </w:numPr>
      </w:pPr>
      <w:r>
        <w:rPr>
          <w:rFonts w:ascii="Arial" w:cs="Arial" w:eastAsia="Arial" w:hAnsi="Arial"/>
          <w:sz w:val="24"/>
          <w:szCs w:val="24"/>
        </w:rPr>
        <w:t xml:space="preserve">String protein interaction database for pathway analysis of dose-sensitive gene networks</w:t>
      </w:r>
    </w:p>
    <w:p>
      <w:pPr>
        <w:pStyle w:val="ListParagraph"/>
        <w:numPr>
          <w:ilvl w:val="0"/>
          <w:numId w:val="2"/>
        </w:numPr>
      </w:pPr>
      <w:r>
        <w:rPr>
          <w:rFonts w:ascii="Arial" w:cs="Arial" w:eastAsia="Arial" w:hAnsi="Arial"/>
          <w:sz w:val="24"/>
          <w:szCs w:val="24"/>
        </w:rPr>
        <w:t xml:space="preserve">Custom visualization R package comparing dose-response curves against functional categories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robust are the identified dose-dependent genes when dose-response curves are re-fit excluding potential outlier replicates?</w:t>
      </w:r>
    </w:p>
    <w:p>
      <w:pPr>
        <w:pStyle w:val="ListParagraph"/>
        <w:numPr>
          <w:ilvl w:val="0"/>
          <w:numId w:val="2"/>
        </w:numPr>
      </w:pPr>
      <w:r>
        <w:rPr>
          <w:rFonts w:ascii="Arial" w:cs="Arial" w:eastAsia="Arial" w:hAnsi="Arial"/>
          <w:i/>
          <w:iCs/>
          <w:sz w:val="24"/>
          <w:szCs w:val="24"/>
        </w:rPr>
        <w:t xml:space="preserve">Do genes with steep dose-response curves (high Hill coefficients) share common functional annotations or interaction partners?</w:t>
      </w:r>
    </w:p>
    <w:p>
      <w:pPr>
        <w:pStyle w:val="ListParagraph"/>
        <w:numPr>
          <w:ilvl w:val="0"/>
          <w:numId w:val="2"/>
        </w:numPr>
      </w:pPr>
      <w:r>
        <w:rPr>
          <w:rFonts w:ascii="Arial" w:cs="Arial" w:eastAsia="Arial" w:hAnsi="Arial"/>
          <w:i/>
          <w:iCs/>
          <w:sz w:val="24"/>
          <w:szCs w:val="24"/>
        </w:rPr>
        <w:t xml:space="preserve">How do the identified dose-dependent DEE genes compare to known ion channel genes versus transcription factors or scaffolding proteins?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Robustness assessment report with sensitivity analysis results for dose-response parameter stability</w:t>
      </w:r>
    </w:p>
    <w:p>
      <w:pPr>
        <w:pStyle w:val="ListParagraph"/>
        <w:numPr>
          <w:ilvl w:val="0"/>
          <w:numId w:val="2"/>
        </w:numPr>
      </w:pPr>
      <w:r>
        <w:rPr>
          <w:rFonts w:ascii="Arial" w:cs="Arial" w:eastAsia="Arial" w:hAnsi="Arial"/>
          <w:sz w:val="24"/>
          <w:szCs w:val="24"/>
        </w:rPr>
        <w:t xml:space="preserve">Functional enrichment analysis results (GO terms, KEGG pathways, protein interaction networks)</w:t>
      </w:r>
    </w:p>
    <w:p>
      <w:pPr>
        <w:pStyle w:val="ListParagraph"/>
        <w:numPr>
          <w:ilvl w:val="0"/>
          <w:numId w:val="2"/>
        </w:numPr>
      </w:pPr>
      <w:r>
        <w:rPr>
          <w:rFonts w:ascii="Arial" w:cs="Arial" w:eastAsia="Arial" w:hAnsi="Arial"/>
          <w:sz w:val="24"/>
          <w:szCs w:val="24"/>
        </w:rPr>
        <w:t xml:space="preserve">Curated table linking dose-dependent genes to known epilepsy associations and ClinVar entries</w:t>
      </w:r>
    </w:p>
    <w:p>
      <w:pPr>
        <w:pStyle w:val="ListParagraph"/>
        <w:numPr>
          <w:ilvl w:val="0"/>
          <w:numId w:val="2"/>
        </w:numPr>
      </w:pPr>
      <w:r>
        <w:rPr>
          <w:rFonts w:ascii="Arial" w:cs="Arial" w:eastAsia="Arial" w:hAnsi="Arial"/>
          <w:sz w:val="24"/>
          <w:szCs w:val="24"/>
        </w:rPr>
        <w:t xml:space="preserve">Heterozygous vs. homozygous classification confidence scores with uncertainty quantification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PDF report with tables and network visualizations; enrichment results as HTML interactive tables; confidence score matrix in CSV</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dose-response findings into mechanistic insights about DEE gene function. Categorize genes by dose-response profile (ultra-sensitive, linear, cooperative), examine correlation between knockdown efficiency levels and phenotypic severity, and generate mechanistic hypotheses linking gene dosage to excitability dysregulation.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dose-response parameters and functional enrichment results</w:t>
      </w:r>
    </w:p>
    <w:p>
      <w:pPr>
        <w:pStyle w:val="ListParagraph"/>
        <w:numPr>
          <w:ilvl w:val="0"/>
          <w:numId w:val="2"/>
        </w:numPr>
      </w:pPr>
      <w:r>
        <w:rPr>
          <w:rFonts w:ascii="Arial" w:cs="Arial" w:eastAsia="Arial" w:hAnsi="Arial"/>
          <w:sz w:val="24"/>
          <w:szCs w:val="24"/>
        </w:rPr>
        <w:t xml:space="preserve">Optopatch excitability metrics organized by dose-response profile category</w:t>
      </w:r>
    </w:p>
    <w:p>
      <w:pPr>
        <w:pStyle w:val="ListParagraph"/>
        <w:numPr>
          <w:ilvl w:val="0"/>
          <w:numId w:val="2"/>
        </w:numPr>
      </w:pPr>
      <w:r>
        <w:rPr>
          <w:rFonts w:ascii="Arial" w:cs="Arial" w:eastAsia="Arial" w:hAnsi="Arial"/>
          <w:sz w:val="24"/>
          <w:szCs w:val="24"/>
        </w:rPr>
        <w:t xml:space="preserve">Known biophysical properties of ion channels and synaptic regulators</w:t>
      </w:r>
    </w:p>
    <w:p>
      <w:pPr>
        <w:pStyle w:val="ListParagraph"/>
        <w:numPr>
          <w:ilvl w:val="0"/>
          <w:numId w:val="2"/>
        </w:numPr>
      </w:pPr>
      <w:r>
        <w:rPr>
          <w:rFonts w:ascii="Arial" w:cs="Arial" w:eastAsia="Arial" w:hAnsi="Arial"/>
          <w:sz w:val="24"/>
          <w:szCs w:val="24"/>
        </w:rPr>
        <w:t xml:space="preserve">Literature on haploinsufficiency and dosage compensation mechanisms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Systems pharmacology frameworks (PK/PD modeling) adapted for genetic dose-response relationships</w:t>
      </w:r>
    </w:p>
    <w:p>
      <w:pPr>
        <w:pStyle w:val="ListParagraph"/>
        <w:numPr>
          <w:ilvl w:val="0"/>
          <w:numId w:val="2"/>
        </w:numPr>
      </w:pPr>
      <w:r>
        <w:rPr>
          <w:rFonts w:ascii="Arial" w:cs="Arial" w:eastAsia="Arial" w:hAnsi="Arial"/>
          <w:sz w:val="24"/>
          <w:szCs w:val="24"/>
        </w:rPr>
        <w:t xml:space="preserve">Network analysis tools (igraph, cytoscape.js) for visualizing gene-phenotype-function relationships</w:t>
      </w:r>
    </w:p>
    <w:p>
      <w:pPr>
        <w:pStyle w:val="ListParagraph"/>
        <w:numPr>
          <w:ilvl w:val="0"/>
          <w:numId w:val="2"/>
        </w:numPr>
      </w:pPr>
      <w:r>
        <w:rPr>
          <w:rFonts w:ascii="Arial" w:cs="Arial" w:eastAsia="Arial" w:hAnsi="Arial"/>
          <w:sz w:val="24"/>
          <w:szCs w:val="24"/>
        </w:rPr>
        <w:t xml:space="preserve">Statistical clustering (k-means, hierarchical clustering, t-SNE) to group genes by dose-response similarity</w:t>
      </w:r>
    </w:p>
    <w:p>
      <w:pPr>
        <w:pStyle w:val="ListParagraph"/>
        <w:numPr>
          <w:ilvl w:val="0"/>
          <w:numId w:val="2"/>
        </w:numPr>
      </w:pPr>
      <w:r>
        <w:rPr>
          <w:rFonts w:ascii="Arial" w:cs="Arial" w:eastAsia="Arial" w:hAnsi="Arial"/>
          <w:sz w:val="24"/>
          <w:szCs w:val="24"/>
        </w:rPr>
        <w:t xml:space="preserve">Bayesian network inference for causal model linking gene dosage to downstream excitability phenotypes</w:t>
      </w:r>
    </w:p>
    <w:p>
      <w:pPr>
        <w:pStyle w:val="ListParagraph"/>
        <w:numPr>
          <w:ilvl w:val="0"/>
          <w:numId w:val="2"/>
        </w:numPr>
      </w:pPr>
      <w:r>
        <w:rPr>
          <w:rFonts w:ascii="Arial" w:cs="Arial" w:eastAsia="Arial" w:hAnsi="Arial"/>
          <w:sz w:val="24"/>
          <w:szCs w:val="24"/>
        </w:rPr>
        <w:t xml:space="preserve">Literature mining and semantic text analysis tools (BERT models) for extracting mechanistic annotations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DEE genes exhibit ultra-sensitive dose-dependent phenotypes suggesting haploinsufficiency or critical dosage balance mechanisms?</w:t>
      </w:r>
    </w:p>
    <w:p>
      <w:pPr>
        <w:pStyle w:val="ListParagraph"/>
        <w:numPr>
          <w:ilvl w:val="0"/>
          <w:numId w:val="2"/>
        </w:numPr>
      </w:pPr>
      <w:r>
        <w:rPr>
          <w:rFonts w:ascii="Arial" w:cs="Arial" w:eastAsia="Arial" w:hAnsi="Arial"/>
          <w:i/>
          <w:iCs/>
          <w:sz w:val="24"/>
          <w:szCs w:val="24"/>
        </w:rPr>
        <w:t xml:space="preserve">How do genes with cooperative dose-response curves (Hill coefficient &gt; 1) differ mechanistically from genes with linear or sub-linear responses?</w:t>
      </w:r>
    </w:p>
    <w:p>
      <w:pPr>
        <w:pStyle w:val="ListParagraph"/>
        <w:numPr>
          <w:ilvl w:val="0"/>
          <w:numId w:val="2"/>
        </w:numPr>
      </w:pPr>
      <w:r>
        <w:rPr>
          <w:rFonts w:ascii="Arial" w:cs="Arial" w:eastAsia="Arial" w:hAnsi="Arial"/>
          <w:i/>
          <w:iCs/>
          <w:sz w:val="24"/>
          <w:szCs w:val="24"/>
        </w:rPr>
        <w:t xml:space="preserve">What shared downstream targets or effector pathways link dose-sensitive DEE genes despite diverse molecular functions?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Gene classification by dose-response profile with mechanistic interpretation and functional category assignments</w:t>
      </w:r>
    </w:p>
    <w:p>
      <w:pPr>
        <w:pStyle w:val="ListParagraph"/>
        <w:numPr>
          <w:ilvl w:val="0"/>
          <w:numId w:val="2"/>
        </w:numPr>
      </w:pPr>
      <w:r>
        <w:rPr>
          <w:rFonts w:ascii="Arial" w:cs="Arial" w:eastAsia="Arial" w:hAnsi="Arial"/>
          <w:sz w:val="24"/>
          <w:szCs w:val="24"/>
        </w:rPr>
        <w:t xml:space="preserve">Network diagram linking DEE genes by dose-response similarity and functional relatedness</w:t>
      </w:r>
    </w:p>
    <w:p>
      <w:pPr>
        <w:pStyle w:val="ListParagraph"/>
        <w:numPr>
          <w:ilvl w:val="0"/>
          <w:numId w:val="2"/>
        </w:numPr>
      </w:pPr>
      <w:r>
        <w:rPr>
          <w:rFonts w:ascii="Arial" w:cs="Arial" w:eastAsia="Arial" w:hAnsi="Arial"/>
          <w:sz w:val="24"/>
          <w:szCs w:val="24"/>
        </w:rPr>
        <w:t xml:space="preserve">Hypothesis document proposing dosage-sensitivity mechanisms and testable predictions for highest-priority genes</w:t>
      </w:r>
    </w:p>
    <w:p>
      <w:pPr>
        <w:pStyle w:val="ListParagraph"/>
        <w:numPr>
          <w:ilvl w:val="0"/>
          <w:numId w:val="2"/>
        </w:numPr>
      </w:pPr>
      <w:r>
        <w:rPr>
          <w:rFonts w:ascii="Arial" w:cs="Arial" w:eastAsia="Arial" w:hAnsi="Arial"/>
          <w:sz w:val="24"/>
          <w:szCs w:val="24"/>
        </w:rPr>
        <w:t xml:space="preserve">Summary table mapping each gene's dose-response profile to known haploinsufficiency status and expression-QTL associations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Mechanistic summary document (Word with embedded figures); network graph in Cytoscape format; hypothesis table in annotated CSV</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final comprehensive output including ranked gene lists, dose-response parameter repository, interactive visualizations, and actionable recommendations for experimental validation or therapeutic targeting. Package all results for downstream use by neurobiologists and drug development teams.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dose-response parameter repository with confidence intervals and validation statistics</w:t>
      </w:r>
    </w:p>
    <w:p>
      <w:pPr>
        <w:pStyle w:val="ListParagraph"/>
        <w:numPr>
          <w:ilvl w:val="0"/>
          <w:numId w:val="2"/>
        </w:numPr>
      </w:pPr>
      <w:r>
        <w:rPr>
          <w:rFonts w:ascii="Arial" w:cs="Arial" w:eastAsia="Arial" w:hAnsi="Arial"/>
          <w:sz w:val="24"/>
          <w:szCs w:val="24"/>
        </w:rPr>
        <w:t xml:space="preserve">Ranked gene lists by dose-response sensitivity and phenotypic impact</w:t>
      </w:r>
    </w:p>
    <w:p>
      <w:pPr>
        <w:pStyle w:val="ListParagraph"/>
        <w:numPr>
          <w:ilvl w:val="0"/>
          <w:numId w:val="2"/>
        </w:numPr>
      </w:pPr>
      <w:r>
        <w:rPr>
          <w:rFonts w:ascii="Arial" w:cs="Arial" w:eastAsia="Arial" w:hAnsi="Arial"/>
          <w:sz w:val="24"/>
          <w:szCs w:val="24"/>
        </w:rPr>
        <w:t xml:space="preserve">All supporting visualizations, tables, and functional annotations from Stages 1-5</w:t>
      </w:r>
    </w:p>
    <w:p>
      <w:pPr>
        <w:pStyle w:val="ListParagraph"/>
        <w:numPr>
          <w:ilvl w:val="0"/>
          <w:numId w:val="2"/>
        </w:numPr>
      </w:pPr>
      <w:r>
        <w:rPr>
          <w:rFonts w:ascii="Arial" w:cs="Arial" w:eastAsia="Arial" w:hAnsi="Arial"/>
          <w:sz w:val="24"/>
          <w:szCs w:val="24"/>
        </w:rPr>
        <w:t xml:space="preserve">Methodological documentation and parameter interpretation guides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Markdown and Python Jupyter for generating comprehensive interactive reports</w:t>
      </w:r>
    </w:p>
    <w:p>
      <w:pPr>
        <w:pStyle w:val="ListParagraph"/>
        <w:numPr>
          <w:ilvl w:val="0"/>
          <w:numId w:val="2"/>
        </w:numPr>
      </w:pPr>
      <w:r>
        <w:rPr>
          <w:rFonts w:ascii="Arial" w:cs="Arial" w:eastAsia="Arial" w:hAnsi="Arial"/>
          <w:sz w:val="24"/>
          <w:szCs w:val="24"/>
        </w:rPr>
        <w:t xml:space="preserve">Shiny or Plotly for interactive dose-response curve exploration dashboards</w:t>
      </w:r>
    </w:p>
    <w:p>
      <w:pPr>
        <w:pStyle w:val="ListParagraph"/>
        <w:numPr>
          <w:ilvl w:val="0"/>
          <w:numId w:val="2"/>
        </w:numPr>
      </w:pPr>
      <w:r>
        <w:rPr>
          <w:rFonts w:ascii="Arial" w:cs="Arial" w:eastAsia="Arial" w:hAnsi="Arial"/>
          <w:sz w:val="24"/>
          <w:szCs w:val="24"/>
        </w:rPr>
        <w:t xml:space="preserve">ggplot2, plotly, and custom visualization scripts for multi-panel publication figures</w:t>
      </w:r>
    </w:p>
    <w:p>
      <w:pPr>
        <w:pStyle w:val="ListParagraph"/>
        <w:numPr>
          <w:ilvl w:val="0"/>
          <w:numId w:val="2"/>
        </w:numPr>
      </w:pPr>
      <w:r>
        <w:rPr>
          <w:rFonts w:ascii="Arial" w:cs="Arial" w:eastAsia="Arial" w:hAnsi="Arial"/>
          <w:sz w:val="24"/>
          <w:szCs w:val="24"/>
        </w:rPr>
        <w:t xml:space="preserve">Database management (SQLite, PostgreSQL) for creating queryable gene dose-response repository</w:t>
      </w:r>
    </w:p>
    <w:p>
      <w:pPr>
        <w:pStyle w:val="ListParagraph"/>
        <w:numPr>
          <w:ilvl w:val="0"/>
          <w:numId w:val="2"/>
        </w:numPr>
      </w:pPr>
      <w:r>
        <w:rPr>
          <w:rFonts w:ascii="Arial" w:cs="Arial" w:eastAsia="Arial" w:hAnsi="Arial"/>
          <w:sz w:val="24"/>
          <w:szCs w:val="24"/>
        </w:rPr>
        <w:t xml:space="preserve">Documentation tools (Sphinx, MkDocs) for generating methodology and parameter reference guides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top 20 DEE genes ranked by dose-response sensitivity, and what single experimental validation experiment would most stringently test the identified dose-dependence?</w:t>
      </w:r>
    </w:p>
    <w:p>
      <w:pPr>
        <w:pStyle w:val="ListParagraph"/>
        <w:numPr>
          <w:ilvl w:val="0"/>
          <w:numId w:val="2"/>
        </w:numPr>
      </w:pPr>
      <w:r>
        <w:rPr>
          <w:rFonts w:ascii="Arial" w:cs="Arial" w:eastAsia="Arial" w:hAnsi="Arial"/>
          <w:i/>
          <w:iCs/>
          <w:sz w:val="24"/>
          <w:szCs w:val="24"/>
        </w:rPr>
        <w:t xml:space="preserve">How should the dose-response repository be structured to enable clinicians to query for genes relevant to specific epilepsy phenotypes or seizure types?</w:t>
      </w:r>
    </w:p>
    <w:p>
      <w:pPr>
        <w:pStyle w:val="ListParagraph"/>
        <w:numPr>
          <w:ilvl w:val="0"/>
          <w:numId w:val="2"/>
        </w:numPr>
      </w:pPr>
      <w:r>
        <w:rPr>
          <w:rFonts w:ascii="Arial" w:cs="Arial" w:eastAsia="Arial" w:hAnsi="Arial"/>
          <w:i/>
          <w:iCs/>
          <w:sz w:val="24"/>
          <w:szCs w:val="24"/>
        </w:rPr>
        <w:t xml:space="preserve">Which genes showing steep dose-response curves (high Hill coefficients) represent priority targets for therapeutic modulation or CRISPR correction studies?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Ranked gene list with dose-response parameters, confidence intervals, and mechanistic annotations (TSV and Excel formats)</w:t>
      </w:r>
    </w:p>
    <w:p>
      <w:pPr>
        <w:pStyle w:val="ListParagraph"/>
        <w:numPr>
          <w:ilvl w:val="0"/>
          <w:numId w:val="2"/>
        </w:numPr>
      </w:pPr>
      <w:r>
        <w:rPr>
          <w:rFonts w:ascii="Arial" w:cs="Arial" w:eastAsia="Arial" w:hAnsi="Arial"/>
          <w:sz w:val="24"/>
          <w:szCs w:val="24"/>
        </w:rPr>
        <w:t xml:space="preserve">Interactive web dashboard enabling exploration of dose-response curves, phenotype-gene associations, and functional annotations</w:t>
      </w:r>
    </w:p>
    <w:p>
      <w:pPr>
        <w:pStyle w:val="ListParagraph"/>
        <w:numPr>
          <w:ilvl w:val="0"/>
          <w:numId w:val="2"/>
        </w:numPr>
      </w:pPr>
      <w:r>
        <w:rPr>
          <w:rFonts w:ascii="Arial" w:cs="Arial" w:eastAsia="Arial" w:hAnsi="Arial"/>
          <w:sz w:val="24"/>
          <w:szCs w:val="24"/>
        </w:rPr>
        <w:t xml:space="preserve">Publication-quality multi-panel figures (PDFs) showing top genes with dose-response relationships and functional context</w:t>
      </w:r>
    </w:p>
    <w:p>
      <w:pPr>
        <w:pStyle w:val="ListParagraph"/>
        <w:numPr>
          <w:ilvl w:val="0"/>
          <w:numId w:val="2"/>
        </w:numPr>
      </w:pPr>
      <w:r>
        <w:rPr>
          <w:rFonts w:ascii="Arial" w:cs="Arial" w:eastAsia="Arial" w:hAnsi="Arial"/>
          <w:sz w:val="24"/>
          <w:szCs w:val="24"/>
        </w:rPr>
        <w:t xml:space="preserve">Comprehensive data repository in standardized format (NetCDF, HDF5, or relational database schema) with full documentation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Excel workbooks with multiple sheets; interactive HTML dashboards with Shiny/Plotly; PDF report with embedded figures; NetCDF archive of complete repository</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NCBI Gene database - Gene nomenclature, sequence retrieval, and annotation curation for DEE candidate genes</w:t>
      </w:r>
    </w:p>
    <w:p>
      <w:pPr>
        <w:pStyle w:val="ListParagraph"/>
        <w:numPr>
          <w:ilvl w:val="0"/>
          <w:numId w:val="2"/>
        </w:numPr>
      </w:pPr>
      <w:r>
        <w:rPr>
          <w:rFonts w:ascii="Arial" w:cs="Arial" w:eastAsia="Arial" w:hAnsi="Arial"/>
          <w:sz w:val="24"/>
          <w:szCs w:val="24"/>
        </w:rPr>
        <w:t xml:space="preserve">Bioconductive Data Repository (BDR) - Primary source for Angelini CRISPRn screening dataset and associated metadata</w:t>
      </w:r>
    </w:p>
    <w:p>
      <w:pPr>
        <w:pStyle w:val="ListParagraph"/>
        <w:numPr>
          <w:ilvl w:val="0"/>
          <w:numId w:val="2"/>
        </w:numPr>
      </w:pPr>
      <w:r>
        <w:rPr>
          <w:rFonts w:ascii="Arial" w:cs="Arial" w:eastAsia="Arial" w:hAnsi="Arial"/>
          <w:sz w:val="24"/>
          <w:szCs w:val="24"/>
        </w:rPr>
        <w:t xml:space="preserve">FastQC - Quality control assessment of guide RNA sequencing and knockdown efficiency measurement data</w:t>
      </w:r>
    </w:p>
    <w:p>
      <w:pPr>
        <w:pStyle w:val="ListParagraph"/>
        <w:numPr>
          <w:ilvl w:val="0"/>
          <w:numId w:val="2"/>
        </w:numPr>
      </w:pPr>
      <w:r>
        <w:rPr>
          <w:rFonts w:ascii="Arial" w:cs="Arial" w:eastAsia="Arial" w:hAnsi="Arial"/>
          <w:sz w:val="24"/>
          <w:szCs w:val="24"/>
        </w:rPr>
        <w:t xml:space="preserve">R/Bioconductor (DESeq2, edgeR, nlme, lme4) - Statistical frameworks for normalized quantification, batch correction, and mixed-effects modeling of dose-response relationships</w:t>
      </w:r>
    </w:p>
    <w:p>
      <w:pPr>
        <w:pStyle w:val="ListParagraph"/>
        <w:numPr>
          <w:ilvl w:val="0"/>
          <w:numId w:val="2"/>
        </w:numPr>
      </w:pPr>
      <w:r>
        <w:rPr>
          <w:rFonts w:ascii="Arial" w:cs="Arial" w:eastAsia="Arial" w:hAnsi="Arial"/>
          <w:sz w:val="24"/>
          <w:szCs w:val="24"/>
        </w:rPr>
        <w:t xml:space="preserve">drc package (R) - Specialized toolset for fitting dose-response curves including logistic and Hill equation models with confidence intervals</w:t>
      </w:r>
    </w:p>
    <w:p>
      <w:pPr>
        <w:pStyle w:val="ListParagraph"/>
        <w:numPr>
          <w:ilvl w:val="0"/>
          <w:numId w:val="2"/>
        </w:numPr>
      </w:pPr>
      <w:r>
        <w:rPr>
          <w:rFonts w:ascii="Arial" w:cs="Arial" w:eastAsia="Arial" w:hAnsi="Arial"/>
          <w:sz w:val="24"/>
          <w:szCs w:val="24"/>
        </w:rPr>
        <w:t xml:space="preserve">Patchmaster - Electrophysiology data preprocessing and conversion from binary ABF format to analyzable matrices</w:t>
      </w:r>
    </w:p>
    <w:p>
      <w:pPr>
        <w:pStyle w:val="ListParagraph"/>
        <w:numPr>
          <w:ilvl w:val="0"/>
          <w:numId w:val="2"/>
        </w:numPr>
      </w:pPr>
      <w:r>
        <w:rPr>
          <w:rFonts w:ascii="Arial" w:cs="Arial" w:eastAsia="Arial" w:hAnsi="Arial"/>
          <w:sz w:val="24"/>
          <w:szCs w:val="24"/>
        </w:rPr>
        <w:t xml:space="preserve">Signal processing libraries (SciPy, NumPy) - Feature extraction from raw Optopatch recordings including action potential kinetics and excitability metrics</w:t>
      </w:r>
    </w:p>
    <w:p>
      <w:pPr>
        <w:pStyle w:val="ListParagraph"/>
        <w:numPr>
          <w:ilvl w:val="0"/>
          <w:numId w:val="2"/>
        </w:numPr>
      </w:pPr>
      <w:r>
        <w:rPr>
          <w:rFonts w:ascii="Arial" w:cs="Arial" w:eastAsia="Arial" w:hAnsi="Arial"/>
          <w:sz w:val="24"/>
          <w:szCs w:val="24"/>
        </w:rPr>
        <w:t xml:space="preserve">ComBat-Seq - Batch effect correction specifically designed for count-based and continuous phenotypic data from high-throughput screens</w:t>
      </w:r>
    </w:p>
    <w:p>
      <w:pPr>
        <w:pStyle w:val="ListParagraph"/>
        <w:numPr>
          <w:ilvl w:val="0"/>
          <w:numId w:val="2"/>
        </w:numPr>
      </w:pPr>
      <w:r>
        <w:rPr>
          <w:rFonts w:ascii="Arial" w:cs="Arial" w:eastAsia="Arial" w:hAnsi="Arial"/>
          <w:sz w:val="24"/>
          <w:szCs w:val="24"/>
        </w:rPr>
        <w:t xml:space="preserve">ClinVar database - Clinical variant classifications and known epilepsy gene associations for cross-validation of findings</w:t>
      </w:r>
    </w:p>
    <w:p>
      <w:pPr>
        <w:pStyle w:val="ListParagraph"/>
        <w:numPr>
          <w:ilvl w:val="0"/>
          <w:numId w:val="2"/>
        </w:numPr>
      </w:pPr>
      <w:r>
        <w:rPr>
          <w:rFonts w:ascii="Arial" w:cs="Arial" w:eastAsia="Arial" w:hAnsi="Arial"/>
          <w:sz w:val="24"/>
          <w:szCs w:val="24"/>
        </w:rPr>
        <w:t xml:space="preserve">Gene Set Enrichment Analysis (GSEA) - Functional annotation and pathway analysis identifying shared biological processes among dose-dependent genes</w:t>
      </w:r>
    </w:p>
    <w:p>
      <w:pPr>
        <w:pStyle w:val="ListParagraph"/>
        <w:numPr>
          <w:ilvl w:val="0"/>
          <w:numId w:val="2"/>
        </w:numPr>
      </w:pPr>
      <w:r>
        <w:rPr>
          <w:rFonts w:ascii="Arial" w:cs="Arial" w:eastAsia="Arial" w:hAnsi="Arial"/>
          <w:sz w:val="24"/>
          <w:szCs w:val="24"/>
        </w:rPr>
        <w:t xml:space="preserve">String Protein Interaction Database - Network mapping of direct and indirect interactions linking dose-sensitive DEE genes</w:t>
      </w:r>
    </w:p>
    <w:p>
      <w:pPr>
        <w:pStyle w:val="ListParagraph"/>
        <w:numPr>
          <w:ilvl w:val="0"/>
          <w:numId w:val="2"/>
        </w:numPr>
      </w:pPr>
      <w:r>
        <w:rPr>
          <w:rFonts w:ascii="Arial" w:cs="Arial" w:eastAsia="Arial" w:hAnsi="Arial"/>
          <w:sz w:val="24"/>
          <w:szCs w:val="24"/>
        </w:rPr>
        <w:t xml:space="preserve">Visualization platforms (ggplot2, Plotly, Cytoscape) - Publication-quality dose-response plots and interactive exploration dashboards</w:t>
      </w:r>
    </w:p>
    <w:p>
      <w:pPr>
        <w:pStyle w:val="ListParagraph"/>
        <w:numPr>
          <w:ilvl w:val="0"/>
          <w:numId w:val="2"/>
        </w:numPr>
      </w:pPr>
      <w:r>
        <w:rPr>
          <w:rFonts w:ascii="Arial" w:cs="Arial" w:eastAsia="Arial" w:hAnsi="Arial"/>
          <w:sz w:val="24"/>
          <w:szCs w:val="24"/>
        </w:rPr>
        <w:t xml:space="preserve">Shiny/R Markdown - Interactive reporting framework enabling dynamic exploration of dose-response parameters and gene rankings</w:t>
      </w:r>
    </w:p>
    <w:p>
      <w:pPr>
        <w:pStyle w:val="ListParagraph"/>
        <w:numPr>
          <w:ilvl w:val="0"/>
          <w:numId w:val="2"/>
        </w:numPr>
      </w:pPr>
      <w:r>
        <w:rPr>
          <w:rFonts w:ascii="Arial" w:cs="Arial" w:eastAsia="Arial" w:hAnsi="Arial"/>
          <w:sz w:val="24"/>
          <w:szCs w:val="24"/>
        </w:rPr>
        <w:t xml:space="preserve">Systems pharmacology frameworks - Mechanistic modeling linking genetic dose to phenotypic outcome via PK/PD-analogous relationships</w:t>
      </w:r>
    </w:p>
    <w:p>
      <w:pPr>
        <w:pStyle w:val="ListParagraph"/>
        <w:numPr>
          <w:ilvl w:val="0"/>
          <w:numId w:val="2"/>
        </w:numPr>
      </w:pPr>
      <w:r>
        <w:rPr>
          <w:rFonts w:ascii="Arial" w:cs="Arial" w:eastAsia="Arial" w:hAnsi="Arial"/>
          <w:sz w:val="24"/>
          <w:szCs w:val="24"/>
        </w:rPr>
        <w:t xml:space="preserve">Bayesian network inference tools - Causal model construction connecting gene dosage to excitability dysregulation mechanisms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2026-03-25T16:53:29.017Z</dcterms:created>
  <dcterms:modified xsi:type="dcterms:W3CDTF">2026-03-25T16:53:29.018Z</dcterms:modified>
</cp:coreProperties>
</file>

<file path=docProps/custom.xml><?xml version="1.0" encoding="utf-8"?>
<Properties xmlns="http://schemas.openxmlformats.org/officeDocument/2006/custom-properties" xmlns:vt="http://schemas.openxmlformats.org/officeDocument/2006/docPropsVTypes"/>
</file>