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#014: Complex &amp; Biphasic Excitability Phenotypes: Multi-Parameter Signatures in DEE Gene Knockouts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the Angelini dataset for DEE genes whose knockout produces complex or biphasic excitability phenotypes (e.g., increased spike frequency but decreased spike amplitude) and analyze whether these multi-parameter signatures suggest convergent effects on multiple ion conductances.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identify developmental epilepsy (DEE) genes in the Angelini Optopatch dataset whose knockout produces complex or biphasic excitability phenotypes characterized by simultaneous dysregulation of multiple biophysical parameters showing apparently opposing functional directions (e.g., increased spontaneous spike frequency coupled with decreased spike amplitude; enhanced input resistance but depressed outward potassium currents; accelerated activation kinetics but prolonged inactivation recovery). Analyze whether these multi-parameter signatures indicate convergent effects on multiple ion conductances, implicate complex compensatory mechanisms, or reveal unexpected ion channel interaction topologies that alter multiple conductance pathways through single molecular lesions.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Highly sophisticated multi-dimensional phenotypic analysis requiring simultaneous evaluation of 40+ correlated biophysical parameters, advanced dimensionality reduction techniques to identify parameter co-variation patterns, and mechanistic modeling of how single gene lesions propagate through multi-channel conductance networks to produce apparently contradictory functional outcomes.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Comprehensively extract and normalize the complete matrix of biophysical excitability parameters from Angelini Optopatch recordings across all DEE gene knockouts in the dataset. Generate standardized, dimensionally-consistent parameter sets enabling quantitative comparison across genes and developmental stages. Establish baseline wild-type reference distributions for each parameter across developmental ages, providing statistical benchmarks to identify which parameters deviate significantly in knockout neurons. Implement robust z-score normalization and percentile rank calculations converting raw parameter values into comparable dimensionless metrics despite underlying differences in electrode series resistance, somatic capacitance, and other technical variables that create baseline variability in raw recordings.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Angelini Optopatch patch-clamp recording repository containing 200+ DEE gene knockout neurons and 100+ wild-type control recordings</w:t>
      </w:r>
    </w:p>
    <w:p>
      <w:pPr>
        <w:pStyle w:val="ListParagraph"/>
        <w:numPr>
          <w:ilvl w:val="0"/>
          <w:numId w:val="2"/>
        </w:numPr>
      </w:pPr>
      <w:r>
        <w:rPr>
          <w:rFonts w:ascii="Arial" w:cs="Arial" w:eastAsia="Arial" w:hAnsi="Arial"/>
          <w:sz w:val="24"/>
          <w:szCs w:val="24"/>
        </w:rPr>
        <w:t xml:space="preserve">Raw voltage-clamp traces at systematically varied holding potentials (-120mV to +60mV) and current-clamp recordings with injected current steps (0-500pA range)</w:t>
      </w:r>
    </w:p>
    <w:p>
      <w:pPr>
        <w:pStyle w:val="ListParagraph"/>
        <w:numPr>
          <w:ilvl w:val="0"/>
          <w:numId w:val="2"/>
        </w:numPr>
      </w:pPr>
      <w:r>
        <w:rPr>
          <w:rFonts w:ascii="Arial" w:cs="Arial" w:eastAsia="Arial" w:hAnsi="Arial"/>
          <w:sz w:val="24"/>
          <w:szCs w:val="24"/>
        </w:rPr>
        <w:t xml:space="preserve">Electrode specifications: tip diameter (1-2 μm), series resistance (5-25 MΩ), seal resistance (&gt;1 GΩ), whole-cell capacitance (5-20 pF)</w:t>
      </w:r>
    </w:p>
    <w:p>
      <w:pPr>
        <w:pStyle w:val="ListParagraph"/>
        <w:numPr>
          <w:ilvl w:val="0"/>
          <w:numId w:val="2"/>
        </w:numPr>
      </w:pPr>
      <w:r>
        <w:rPr>
          <w:rFonts w:ascii="Arial" w:cs="Arial" w:eastAsia="Arial" w:hAnsi="Arial"/>
          <w:sz w:val="24"/>
          <w:szCs w:val="24"/>
        </w:rPr>
        <w:t xml:space="preserve">Neuronal morphology measurements: somatic diameter, membrane surface area estimates, soma-to-dendrite distance metrics</w:t>
      </w:r>
    </w:p>
    <w:p>
      <w:pPr>
        <w:pStyle w:val="ListParagraph"/>
        <w:numPr>
          <w:ilvl w:val="0"/>
          <w:numId w:val="2"/>
        </w:numPr>
      </w:pPr>
      <w:r>
        <w:rPr>
          <w:rFonts w:ascii="Arial" w:cs="Arial" w:eastAsia="Arial" w:hAnsi="Arial"/>
          <w:sz w:val="24"/>
          <w:szCs w:val="24"/>
        </w:rPr>
        <w:t xml:space="preserve">Environmental recording parameters: temperature (35-37°C), pH (7.35-7.45), osmolarity, extracellular ion concentrations (K+, Na+, Ca2+, Cl-)</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pClamp 11.0+ (Molecular Devices whole-cell recording analysis with automated parameter extraction protocols)</w:t>
      </w:r>
    </w:p>
    <w:p>
      <w:pPr>
        <w:pStyle w:val="ListParagraph"/>
        <w:numPr>
          <w:ilvl w:val="0"/>
          <w:numId w:val="2"/>
        </w:numPr>
      </w:pPr>
      <w:r>
        <w:rPr>
          <w:rFonts w:ascii="Arial" w:cs="Arial" w:eastAsia="Arial" w:hAnsi="Arial"/>
          <w:sz w:val="24"/>
          <w:szCs w:val="24"/>
        </w:rPr>
        <w:t xml:space="preserve">Igor Pro (WaveMetrics) with custom procedures for kinetic fitting: Boltzmann curve fitting for activation/inactivation, exponential fitting for time constants</w:t>
      </w:r>
    </w:p>
    <w:p>
      <w:pPr>
        <w:pStyle w:val="ListParagraph"/>
        <w:numPr>
          <w:ilvl w:val="0"/>
          <w:numId w:val="2"/>
        </w:numPr>
      </w:pPr>
      <w:r>
        <w:rPr>
          <w:rFonts w:ascii="Arial" w:cs="Arial" w:eastAsia="Arial" w:hAnsi="Arial"/>
          <w:sz w:val="24"/>
          <w:szCs w:val="24"/>
        </w:rPr>
        <w:t xml:space="preserve">MATLAB with custom scripts: leak subtraction algorithms, capacity transient removal, baseline potential correction, artifact detection</w:t>
      </w:r>
    </w:p>
    <w:p>
      <w:pPr>
        <w:pStyle w:val="ListParagraph"/>
        <w:numPr>
          <w:ilvl w:val="0"/>
          <w:numId w:val="2"/>
        </w:numPr>
      </w:pPr>
      <w:r>
        <w:rPr>
          <w:rFonts w:ascii="Arial" w:cs="Arial" w:eastAsia="Arial" w:hAnsi="Arial"/>
          <w:sz w:val="24"/>
          <w:szCs w:val="24"/>
        </w:rPr>
        <w:t xml:space="preserve">Python (numpy, scipy, pandas): parameter normalization, outlier detection (modified z-score method), distributed data processing</w:t>
      </w:r>
    </w:p>
    <w:p>
      <w:pPr>
        <w:pStyle w:val="ListParagraph"/>
        <w:numPr>
          <w:ilvl w:val="0"/>
          <w:numId w:val="2"/>
        </w:numPr>
      </w:pPr>
      <w:r>
        <w:rPr>
          <w:rFonts w:ascii="Arial" w:cs="Arial" w:eastAsia="Arial" w:hAnsi="Arial"/>
          <w:sz w:val="24"/>
          <w:szCs w:val="24"/>
        </w:rPr>
        <w:t xml:space="preserve">R with dplyr/tidyr: data wrangling, missing value imputation strategies, normalization pipeline validation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Import all DEE gene knockout and wild-type recordings into Igor Pro, apply series resistance compensation (iterative feedback minimization to &gt;90% correction), subtract P/N baseline leaks, and fit Boltzmann curves to voltage-clamp data at each potential to extract whole-cell conductance (G = I/[V-Erev]) after appropriate Nernst potential calculations for sodium, potassium, and calcium conductances.</w:t>
      </w:r>
    </w:p>
    <w:p>
      <w:pPr>
        <w:pStyle w:val="ListParagraph"/>
        <w:numPr>
          <w:ilvl w:val="0"/>
          <w:numId w:val="2"/>
        </w:numPr>
      </w:pPr>
      <w:r>
        <w:rPr>
          <w:rFonts w:ascii="Arial" w:cs="Arial" w:eastAsia="Arial" w:hAnsi="Arial"/>
          <w:i/>
          <w:iCs/>
          <w:sz w:val="24"/>
          <w:szCs w:val="24"/>
        </w:rPr>
        <w:t xml:space="preserve">Extract 45+ biophysical parameters from each recording: sodium current peak (pA, pA/pF), activation time constant (ms), inactivation time constant (ms), steady-state inactivation voltage (mV), recovery from inactivation time constant (ms); equivalent parameters for potassium conductances (fast transient, delayed rectifier, inward rectifier classes); calcium current (if present); leak conductance; resting membrane potential; input resistance; membrane capacitance; spontaneous action potential frequency; action potential threshold voltage; peak overshoot; repolarization rate; afterhyperpolarization depth; spike width at half-amplitude.</w:t>
      </w:r>
    </w:p>
    <w:p>
      <w:pPr>
        <w:pStyle w:val="ListParagraph"/>
        <w:numPr>
          <w:ilvl w:val="0"/>
          <w:numId w:val="2"/>
        </w:numPr>
      </w:pPr>
      <w:r>
        <w:rPr>
          <w:rFonts w:ascii="Arial" w:cs="Arial" w:eastAsia="Arial" w:hAnsi="Arial"/>
          <w:i/>
          <w:iCs/>
          <w:sz w:val="24"/>
          <w:szCs w:val="24"/>
        </w:rPr>
        <w:t xml:space="preserve">For each parameter, calculate population statistics from wild-type neurons binned by age (E3-E7, E8-E13, E14-E21): mean, median, standard deviation, interquartile range, 5th-95th percentile bounds. For each knockout neuron, calculate z-score (parameter value minus age-matched wild-type mean, divided by wild-type SD), percentile rank, and effect size (Cohen's d comparing knockout distribution to wild-type), generating normalized parameter matrices suitable for multi-dimensional analysis.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normalized parameter matrix: 200+ neurons × 45 parameters, with z-scores, percentile ranks, and effect sizes for each parameter in each knockout, stored in HDF5/NetCDF format for efficient multi-dimensional querying</w:t>
      </w:r>
    </w:p>
    <w:p>
      <w:pPr>
        <w:pStyle w:val="ListParagraph"/>
        <w:numPr>
          <w:ilvl w:val="0"/>
          <w:numId w:val="2"/>
        </w:numPr>
      </w:pPr>
      <w:r>
        <w:rPr>
          <w:rFonts w:ascii="Arial" w:cs="Arial" w:eastAsia="Arial" w:hAnsi="Arial"/>
          <w:sz w:val="24"/>
          <w:szCs w:val="24"/>
        </w:rPr>
        <w:t xml:space="preserve">Wild-type reference distribution library documenting mean, SD, and percentile bounds for each of 45 parameters at three developmental age classes (E3-E7, E8-E13, E14-E21), with bootstrapped confidence intervals (95%) and supporting sample size documentation</w:t>
      </w:r>
    </w:p>
    <w:p>
      <w:pPr>
        <w:pStyle w:val="ListParagraph"/>
        <w:numPr>
          <w:ilvl w:val="0"/>
          <w:numId w:val="2"/>
        </w:numPr>
      </w:pPr>
      <w:r>
        <w:rPr>
          <w:rFonts w:ascii="Arial" w:cs="Arial" w:eastAsia="Arial" w:hAnsi="Arial"/>
          <w:sz w:val="24"/>
          <w:szCs w:val="24"/>
        </w:rPr>
        <w:t xml:space="preserve">Quality control report identifying 5-10% of recordings with technical artifacts (uncorrectable series resistance &gt;25 MΩ, leak current &gt;10% of peak inward current, baseline drift &gt;20%, electrode noise exceeding signal amplitude), with inclusion/exclusion justification</w:t>
      </w:r>
    </w:p>
    <w:p>
      <w:pPr>
        <w:pStyle w:val="ListParagraph"/>
        <w:numPr>
          <w:ilvl w:val="0"/>
          <w:numId w:val="2"/>
        </w:numPr>
      </w:pPr>
      <w:r>
        <w:rPr>
          <w:rFonts w:ascii="Arial" w:cs="Arial" w:eastAsia="Arial" w:hAnsi="Arial"/>
          <w:sz w:val="24"/>
          <w:szCs w:val="24"/>
        </w:rPr>
        <w:t xml:space="preserve">Parameter redundancy analysis documenting correlations among the 45 parameters, identifying principal redundancies (e.g., peak inward current highly correlated with somatic capacitance) to enable optional downstream dimensionality reduction if needed</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hierarchical data structure with parameter matrices, metadata trees, and quality flags; accompanying R markdown validation report (HTML) documenting normalization procedures, wild-type reference statistics, and data quality metrics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Apply unsupervised and supervised machine learning clustering algorithms to identify DEE genes producing multi-parameter phenotypic signatures showing apparent contradictions or complex, biphasic patterns. Use k-means and hierarchical clustering to partition 40+ DEE genes into phenotypic classes based on their parameter deviation signatures (z-score profiles across all 45 parameters). Identify specific genes producing 'conflict' phenotypes where some parameters deviate in one direction (e.g., increased spike frequency) while other parameters deviate oppositely (e.g., decreased spike amplitude). Calculate entropy and complexity metrics quantifying the dimensionality and coherence of each gene's phenotypic signature, ranking genes by phenotypic complexity to prioritize mechanistic investigation of most 'contradictory'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parameter matrix from Stage 1: 40+ DEE genes with mean z-scores across 45 parameters at each developmental stage</w:t>
      </w:r>
    </w:p>
    <w:p>
      <w:pPr>
        <w:pStyle w:val="ListParagraph"/>
        <w:numPr>
          <w:ilvl w:val="0"/>
          <w:numId w:val="2"/>
        </w:numPr>
      </w:pPr>
      <w:r>
        <w:rPr>
          <w:rFonts w:ascii="Arial" w:cs="Arial" w:eastAsia="Arial" w:hAnsi="Arial"/>
          <w:sz w:val="24"/>
          <w:szCs w:val="24"/>
        </w:rPr>
        <w:t xml:space="preserve">Parameter classifications: sodium channel properties, potassium channel properties, calcium channel properties, general membrane properties, spike morphology, spontaneous firing patterns; enables clustering on parameter subsets</w:t>
      </w:r>
    </w:p>
    <w:p>
      <w:pPr>
        <w:pStyle w:val="ListParagraph"/>
        <w:numPr>
          <w:ilvl w:val="0"/>
          <w:numId w:val="2"/>
        </w:numPr>
      </w:pPr>
      <w:r>
        <w:rPr>
          <w:rFonts w:ascii="Arial" w:cs="Arial" w:eastAsia="Arial" w:hAnsi="Arial"/>
          <w:sz w:val="24"/>
          <w:szCs w:val="24"/>
        </w:rPr>
        <w:t xml:space="preserve">Phenotypic similarity measures: Euclidean distance, Manhattan distance, and cosine similarity in 45-dimensional parameter space, tested for optimal discrimination of distinct phenotype classes</w:t>
      </w:r>
    </w:p>
    <w:p>
      <w:pPr>
        <w:pStyle w:val="ListParagraph"/>
        <w:numPr>
          <w:ilvl w:val="0"/>
          <w:numId w:val="2"/>
        </w:numPr>
      </w:pPr>
      <w:r>
        <w:rPr>
          <w:rFonts w:ascii="Arial" w:cs="Arial" w:eastAsia="Arial" w:hAnsi="Arial"/>
          <w:sz w:val="24"/>
          <w:szCs w:val="24"/>
        </w:rPr>
        <w:t xml:space="preserve">Published phenotypic data from individual DEE gene knockout studies (literature-derived) for validation of computational phenotypic classifications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k-means clustering, hierarchical agglomerative clustering, DBSCAN density-based clustering with silhouette score and Davies-Bouldin index optimization for optimal cluster number</w:t>
      </w:r>
    </w:p>
    <w:p>
      <w:pPr>
        <w:pStyle w:val="ListParagraph"/>
        <w:numPr>
          <w:ilvl w:val="0"/>
          <w:numId w:val="2"/>
        </w:numPr>
      </w:pPr>
      <w:r>
        <w:rPr>
          <w:rFonts w:ascii="Arial" w:cs="Arial" w:eastAsia="Arial" w:hAnsi="Arial"/>
          <w:sz w:val="24"/>
          <w:szCs w:val="24"/>
        </w:rPr>
        <w:t xml:space="preserve">UMAP and t-SNE (dimensionality reduction for visualization of 45-dimensional parameter space in 2D, color-coded by gene phenotype cluster and developmental stage)</w:t>
      </w:r>
    </w:p>
    <w:p>
      <w:pPr>
        <w:pStyle w:val="ListParagraph"/>
        <w:numPr>
          <w:ilvl w:val="0"/>
          <w:numId w:val="2"/>
        </w:numPr>
      </w:pPr>
      <w:r>
        <w:rPr>
          <w:rFonts w:ascii="Arial" w:cs="Arial" w:eastAsia="Arial" w:hAnsi="Arial"/>
          <w:sz w:val="24"/>
          <w:szCs w:val="24"/>
        </w:rPr>
        <w:t xml:space="preserve">R hclust and dendextend: hierarchical clustering with dendrogram visualization and branch color-coding by phenotypic class assignment</w:t>
      </w:r>
    </w:p>
    <w:p>
      <w:pPr>
        <w:pStyle w:val="ListParagraph"/>
        <w:numPr>
          <w:ilvl w:val="0"/>
          <w:numId w:val="2"/>
        </w:numPr>
      </w:pPr>
      <w:r>
        <w:rPr>
          <w:rFonts w:ascii="Arial" w:cs="Arial" w:eastAsia="Arial" w:hAnsi="Arial"/>
          <w:sz w:val="24"/>
          <w:szCs w:val="24"/>
        </w:rPr>
        <w:t xml:space="preserve">Custom Python entropy calculation: Shannon entropy and Tsallis entropy quantifying complexity of multi-parameter phenotypic deviation patterns</w:t>
      </w:r>
    </w:p>
    <w:p>
      <w:pPr>
        <w:pStyle w:val="ListParagraph"/>
        <w:numPr>
          <w:ilvl w:val="0"/>
          <w:numId w:val="2"/>
        </w:numPr>
      </w:pPr>
      <w:r>
        <w:rPr>
          <w:rFonts w:ascii="Arial" w:cs="Arial" w:eastAsia="Arial" w:hAnsi="Arial"/>
          <w:sz w:val="24"/>
          <w:szCs w:val="24"/>
        </w:rPr>
        <w:t xml:space="preserve">PCA (principal component analysis) for identifying parameter combinations that maximally explain phenotypic variance (PC1 often reflects overall severity of phenotypic deviation, PC2-PC5 capture specific phenotypic dimensions)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k-means clustering on the gene-level phenotype matrix (40 genes × 45 parameters, using mean z-scores per gene), testing k=3 to k=8 clusters and evaluating silhouette scores and Davies-Bouldin indices to identify optimal cluster number. Inspect resulting clusters, labeling them by dominant phenotypic characteristics: e.g., 'Channel Loss' (broad conductance reductions), 'Excitability Gain' (increased firing propensity), 'Complex' (multi-parameter contradictions).</w:t>
      </w:r>
    </w:p>
    <w:p>
      <w:pPr>
        <w:pStyle w:val="ListParagraph"/>
        <w:numPr>
          <w:ilvl w:val="0"/>
          <w:numId w:val="2"/>
        </w:numPr>
      </w:pPr>
      <w:r>
        <w:rPr>
          <w:rFonts w:ascii="Arial" w:cs="Arial" w:eastAsia="Arial" w:hAnsi="Arial"/>
          <w:i/>
          <w:iCs/>
          <w:sz w:val="24"/>
          <w:szCs w:val="24"/>
        </w:rPr>
        <w:t xml:space="preserve">For each DEE gene, calculate phenotypic contradiction score: compare magnitude of positive parameter deviations to magnitude of negative parameter deviations, flagging genes where both are substantial (suggesting complex, biphasic phenotypes rather than simple gain-of-function or loss-of-function). Manually inspect z-score profiles of top-ranked 'contradiction phenotype' genes (e.g., rank by ratio of maximum positive z-score to maximum negative z-score), documenting specific parameter combinations showing opposing deviations.</w:t>
      </w:r>
    </w:p>
    <w:p>
      <w:pPr>
        <w:pStyle w:val="ListParagraph"/>
        <w:numPr>
          <w:ilvl w:val="0"/>
          <w:numId w:val="2"/>
        </w:numPr>
      </w:pPr>
      <w:r>
        <w:rPr>
          <w:rFonts w:ascii="Arial" w:cs="Arial" w:eastAsia="Arial" w:hAnsi="Arial"/>
          <w:i/>
          <w:iCs/>
          <w:sz w:val="24"/>
          <w:szCs w:val="24"/>
        </w:rPr>
        <w:t xml:space="preserve">Compute Shannon entropy for each gene's z-score signature: genes with many moderately-deviated parameters (high entropy) versus genes with few severely-deviated parameters (low entropy) represent distinct phenotypic classes. Use entropy ranking to identify genes with maximally complex, distributed phenotypic changes versus genes with focal, simple phenotypes.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Phenotypic cluster map identifying 4-6 major phenotypic classes among 40+ DEE genes, with each gene assigned to cluster membership based on overall z-score profile, displayed as heatmap with genes (rows) clustered by similarity and parameters (columns) grouped by functional category</w:t>
      </w:r>
    </w:p>
    <w:p>
      <w:pPr>
        <w:pStyle w:val="ListParagraph"/>
        <w:numPr>
          <w:ilvl w:val="0"/>
          <w:numId w:val="2"/>
        </w:numPr>
      </w:pPr>
      <w:r>
        <w:rPr>
          <w:rFonts w:ascii="Arial" w:cs="Arial" w:eastAsia="Arial" w:hAnsi="Arial"/>
          <w:sz w:val="24"/>
          <w:szCs w:val="24"/>
        </w:rPr>
        <w:t xml:space="preserve">Biphasic/complex phenotype roster: 8-12 genes showing highest contradiction scores (simultaneous parameters deviated in opposing directions), ranked by contradiction magnitude, with specific parameter pairs documented (e.g., Gene X: spike frequency +2.3 SD, spike amplitude -1.8 SD, inactivation recovery time +1.5 SD, outward current -2.1 SD)</w:t>
      </w:r>
    </w:p>
    <w:p>
      <w:pPr>
        <w:pStyle w:val="ListParagraph"/>
        <w:numPr>
          <w:ilvl w:val="0"/>
          <w:numId w:val="2"/>
        </w:numPr>
      </w:pPr>
      <w:r>
        <w:rPr>
          <w:rFonts w:ascii="Arial" w:cs="Arial" w:eastAsia="Arial" w:hAnsi="Arial"/>
          <w:sz w:val="24"/>
          <w:szCs w:val="24"/>
        </w:rPr>
        <w:t xml:space="preserve">Dimensionality reduction visualization: UMAP or t-SNE plot of 40+ genes in transformed 45-dimensional parameter space, color-coded by phenotypic cluster assignment, enabling visual identification of genes with similar versus distinct phenotypic signatures</w:t>
      </w:r>
    </w:p>
    <w:p>
      <w:pPr>
        <w:pStyle w:val="ListParagraph"/>
        <w:numPr>
          <w:ilvl w:val="0"/>
          <w:numId w:val="2"/>
        </w:numPr>
      </w:pPr>
      <w:r>
        <w:rPr>
          <w:rFonts w:ascii="Arial" w:cs="Arial" w:eastAsia="Arial" w:hAnsi="Arial"/>
          <w:sz w:val="24"/>
          <w:szCs w:val="24"/>
        </w:rPr>
        <w:t xml:space="preserve">Complexity ranking of all 40+ DEE genes by Shannon entropy of z-score distribution, identifying which genes show maximally distributed, complex phenotypic changes versus focused, simple phenotypes, with entropy values (bits) and percentile rankings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Interactive heatmap visualization (HTML with plotly enabling hover inspection of individual gene-parameter z-scores), clustered dendrogram (PDF), UMAP/t-SNE scatter plots with legend (PDF/PNG), and summary table (CSV) listing each gene's cluster assignment, contradiction score, and entropy rank</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targeted ion channel conductance modeling and computational biophysics analysis on genes identified in Stage 2 as producing complex, biphasic phenotypes. For each identified gene, formulate testable mechanistic hypotheses explaining how single-gene lesions could produce apparent parameter contradictions: (1) Does the knockout disrupt a scaffolding protein bringing multiple ion channels into functional complexes, causing some channels to be displaced/inactivated while others become hyperactive? (2) Does the knockout disrupt developmental expression switching, leaving immature channel isoforms active while normal mature isoforms are suppressed? (3) Does the knockout compromise compensatory mechanisms that normally maintain excitability, revealing opposing effects of removing both the primary gene function and endogenous compensatory systems? (4) Does the mutation disrupt ion channel phosphorylation sites, altering modulation by developmental kinases in complex, multi-target ways? Implement Hodgkin-Huxley and conductance-based neuronal models with parameters derived from measured z-scores to test whether predicted firing patterns match observed spontaneous activity in knockout neurons.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Stage 2 results: identified 8-12 genes with biphasic/complex phenotypes and ranked list of contradictory parameter combinations per gene</w:t>
      </w:r>
    </w:p>
    <w:p>
      <w:pPr>
        <w:pStyle w:val="ListParagraph"/>
        <w:numPr>
          <w:ilvl w:val="0"/>
          <w:numId w:val="2"/>
        </w:numPr>
      </w:pPr>
      <w:r>
        <w:rPr>
          <w:rFonts w:ascii="Arial" w:cs="Arial" w:eastAsia="Arial" w:hAnsi="Arial"/>
          <w:sz w:val="24"/>
          <w:szCs w:val="24"/>
        </w:rPr>
        <w:t xml:space="preserve">Complete z-score profiles for each complex-phenotype gene across all 45 parameters, enabling conductance model parameterization</w:t>
      </w:r>
    </w:p>
    <w:p>
      <w:pPr>
        <w:pStyle w:val="ListParagraph"/>
        <w:numPr>
          <w:ilvl w:val="0"/>
          <w:numId w:val="2"/>
        </w:numPr>
      </w:pPr>
      <w:r>
        <w:rPr>
          <w:rFonts w:ascii="Arial" w:cs="Arial" w:eastAsia="Arial" w:hAnsi="Arial"/>
          <w:sz w:val="24"/>
          <w:szCs w:val="24"/>
        </w:rPr>
        <w:t xml:space="preserve">Literature data: wild-type Hodgkin-Huxley model parameters for rodent neurons, ion channel gating kinetics, voltage-dependent inactivation properties, developmental isoform switching documentation</w:t>
      </w:r>
    </w:p>
    <w:p>
      <w:pPr>
        <w:pStyle w:val="ListParagraph"/>
        <w:numPr>
          <w:ilvl w:val="0"/>
          <w:numId w:val="2"/>
        </w:numPr>
      </w:pPr>
      <w:r>
        <w:rPr>
          <w:rFonts w:ascii="Arial" w:cs="Arial" w:eastAsia="Arial" w:hAnsi="Arial"/>
          <w:sz w:val="24"/>
          <w:szCs w:val="24"/>
        </w:rPr>
        <w:t xml:space="preserve">Published structures/mutations data: protein structural annotations for DEE genes (obtained from PDB, RSCB protein database), known protein interaction partners, predicted consequence of identified mutations on protein folding/function</w:t>
      </w:r>
    </w:p>
    <w:p>
      <w:pPr>
        <w:pStyle w:val="ListParagraph"/>
        <w:numPr>
          <w:ilvl w:val="0"/>
          <w:numId w:val="2"/>
        </w:numPr>
      </w:pPr>
      <w:r>
        <w:rPr>
          <w:rFonts w:ascii="Arial" w:cs="Arial" w:eastAsia="Arial" w:hAnsi="Arial"/>
          <w:sz w:val="24"/>
          <w:szCs w:val="24"/>
        </w:rPr>
        <w:t xml:space="preserve">Transcriptomic data: mRNA expression of ion channel genes and scaffolding proteins at E3-E21 developmental stages, documenting which channels are expressed in early versus late development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NEURON simulation environment (Hines &amp; Carnevale): Hodgkin-Huxley style conductance-based neuronal models enabling parametric modification of conductances to simulate knockout effects</w:t>
      </w:r>
    </w:p>
    <w:p>
      <w:pPr>
        <w:pStyle w:val="ListParagraph"/>
        <w:numPr>
          <w:ilvl w:val="0"/>
          <w:numId w:val="2"/>
        </w:numPr>
      </w:pPr>
      <w:r>
        <w:rPr>
          <w:rFonts w:ascii="Arial" w:cs="Arial" w:eastAsia="Arial" w:hAnsi="Arial"/>
          <w:sz w:val="24"/>
          <w:szCs w:val="24"/>
        </w:rPr>
        <w:t xml:space="preserve">Brian2 (Python neuronal simulation): alternative computational framework for flexible conductance model implementation with parameter sweep capabilities</w:t>
      </w:r>
    </w:p>
    <w:p>
      <w:pPr>
        <w:pStyle w:val="ListParagraph"/>
        <w:numPr>
          <w:ilvl w:val="0"/>
          <w:numId w:val="2"/>
        </w:numPr>
      </w:pPr>
      <w:r>
        <w:rPr>
          <w:rFonts w:ascii="Arial" w:cs="Arial" w:eastAsia="Arial" w:hAnsi="Arial"/>
          <w:sz w:val="24"/>
          <w:szCs w:val="24"/>
        </w:rPr>
        <w:t xml:space="preserve">Custom Python/MATLAB scripts: single-compartment conductance model implementations with gating variable ODEs (ordinary differential equations) describing m, h, n state variables for sodium and potassium conductances</w:t>
      </w:r>
    </w:p>
    <w:p>
      <w:pPr>
        <w:pStyle w:val="ListParagraph"/>
        <w:numPr>
          <w:ilvl w:val="0"/>
          <w:numId w:val="2"/>
        </w:numPr>
      </w:pPr>
      <w:r>
        <w:rPr>
          <w:rFonts w:ascii="Arial" w:cs="Arial" w:eastAsia="Arial" w:hAnsi="Arial"/>
          <w:sz w:val="24"/>
          <w:szCs w:val="24"/>
        </w:rPr>
        <w:t xml:space="preserve">CVode (SUNDIALS ODE solver) or LSODA: numerical integration of conductance model dynamics with adaptive timestep control ensuring numerical stability</w:t>
      </w:r>
    </w:p>
    <w:p>
      <w:pPr>
        <w:pStyle w:val="ListParagraph"/>
        <w:numPr>
          <w:ilvl w:val="0"/>
          <w:numId w:val="2"/>
        </w:numPr>
      </w:pPr>
      <w:r>
        <w:rPr>
          <w:rFonts w:ascii="Arial" w:cs="Arial" w:eastAsia="Arial" w:hAnsi="Arial"/>
          <w:sz w:val="24"/>
          <w:szCs w:val="24"/>
        </w:rPr>
        <w:t xml:space="preserve">AlphaFold2 or I-TASSER: protein structure prediction for DEE genes of unknown structure, computational mutation effect prediction (FoldX, Rosetta)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of 8-12 complex-phenotype genes identified in Stage 2, construct baseline wild-type Hodgkin-Huxley conductance model parameterized with population-averaged biophysical data from electrophysiology literature (sodium conductance gNa=120 mS/cm², potassium conductance gK=36 mS/cm², leak conductance gL=0.3 mS/cm²), then validate model can reproduce measured wild-type spike characteristics (threshold ~-40mV, overshoot ~+30mV, typical spike frequency 5-20 Hz).</w:t>
      </w:r>
    </w:p>
    <w:p>
      <w:pPr>
        <w:pStyle w:val="ListParagraph"/>
        <w:numPr>
          <w:ilvl w:val="0"/>
          <w:numId w:val="2"/>
        </w:numPr>
      </w:pPr>
      <w:r>
        <w:rPr>
          <w:rFonts w:ascii="Arial" w:cs="Arial" w:eastAsia="Arial" w:hAnsi="Arial"/>
          <w:i/>
          <w:iCs/>
          <w:sz w:val="24"/>
          <w:szCs w:val="24"/>
        </w:rPr>
        <w:t xml:space="preserve">Modify model conductance parameters based on measured z-scores from knockout neurons: if knockout shows spike amplitude decreased (z=-1.8), reduce gNa; if spike frequency increased (z=+2.3), reduce gK inactivation steady-state level. Iteratively adjust multiple conductance parameters simultaneously to test which parameter combinations reproduce observed multi-parameter phenotypic signatures, documenting which specific conductance changes are essential versus compensatory.</w:t>
      </w:r>
    </w:p>
    <w:p>
      <w:pPr>
        <w:pStyle w:val="ListParagraph"/>
        <w:numPr>
          <w:ilvl w:val="0"/>
          <w:numId w:val="2"/>
        </w:numPr>
      </w:pPr>
      <w:r>
        <w:rPr>
          <w:rFonts w:ascii="Arial" w:cs="Arial" w:eastAsia="Arial" w:hAnsi="Arial"/>
          <w:i/>
          <w:iCs/>
          <w:sz w:val="24"/>
          <w:szCs w:val="24"/>
        </w:rPr>
        <w:t xml:space="preserve">Run parameter sensitivity analysis: systematically vary each conductance parameter (±20% from baseline) and quantify effects on all measured phenotypic parameters (spike frequency, amplitude, threshold, etc.), generating parameter-to-phenotype sensitivity matrices. Identify parameters with high sensitivity to multiple phenotypic outcomes (suggesting 'hub' conductances whose dysregulation produces complex multi-parameter effects) versus parameters affecting narrow phenotypic aspects.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hypothesis document for each of 8-12 complex-phenotype genes, proposing specific ion channel dysfunctions and compensatory mechanisms (with supporting evidence from literature and protein structure analysis) capable of explaining observed multi-parameter contradictions; hypotheses ranked by mechanistic plausibility and testability</w:t>
      </w:r>
    </w:p>
    <w:p>
      <w:pPr>
        <w:pStyle w:val="ListParagraph"/>
        <w:numPr>
          <w:ilvl w:val="0"/>
          <w:numId w:val="2"/>
        </w:numPr>
      </w:pPr>
      <w:r>
        <w:rPr>
          <w:rFonts w:ascii="Arial" w:cs="Arial" w:eastAsia="Arial" w:hAnsi="Arial"/>
          <w:sz w:val="24"/>
          <w:szCs w:val="24"/>
        </w:rPr>
        <w:t xml:space="preserve">Validated conductance models for representative genes showing: (1) parameter set reproducing wild-type spike characteristics; (2) modified parameter set (based on measured z-scores) reproducing knockout phenotypic signatures; (3) sensitivity analysis documenting which conductance changes are necessary versus sufficient to explain observations</w:t>
      </w:r>
    </w:p>
    <w:p>
      <w:pPr>
        <w:pStyle w:val="ListParagraph"/>
        <w:numPr>
          <w:ilvl w:val="0"/>
          <w:numId w:val="2"/>
        </w:numPr>
      </w:pPr>
      <w:r>
        <w:rPr>
          <w:rFonts w:ascii="Arial" w:cs="Arial" w:eastAsia="Arial" w:hAnsi="Arial"/>
          <w:sz w:val="24"/>
          <w:szCs w:val="24"/>
        </w:rPr>
        <w:t xml:space="preserve">Computational prediction tables showing: for each complex-phenotype gene, which conductance parameters must change to explain the observed parameter contradictions, quantified parameter changes needed (percent modulation from baseline), and predicted secondary effects of each parameter change on related electrophysiological features</w:t>
      </w:r>
    </w:p>
    <w:p>
      <w:pPr>
        <w:pStyle w:val="ListParagraph"/>
        <w:numPr>
          <w:ilvl w:val="0"/>
          <w:numId w:val="2"/>
        </w:numPr>
      </w:pPr>
      <w:r>
        <w:rPr>
          <w:rFonts w:ascii="Arial" w:cs="Arial" w:eastAsia="Arial" w:hAnsi="Arial"/>
          <w:sz w:val="24"/>
          <w:szCs w:val="24"/>
        </w:rPr>
        <w:t xml:space="preserve">Model validation metrics: comparison of model-predicted spike parameters to measured electrophysiology data using Pearson correlation and root-mean-square error, documenting model fit quality (r² typically &gt;0.85 for good fits)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hypothesis documents (Word) with embedded protein structure visualizations and pathway diagrams, NEURON model files (.hoc files) enabling reproduction of simulations, MATLAB/Python scripts for conductance model parameter optimization, and PDF figures showing model simulations overlaid with measured electrophysiology traces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mechanistic hypotheses through multi-pronged experimental and computational approaches: (1) Cross-reference predicted ion channel dysfunction patterns against known structural consequences of mutations in those channels documented in literature and structural databases (e.g., does predicted sodium channel loss match reported effects of SCN1A mutations?); (2) Query existing pharmacological screening data showing how channel blockers and modulators alter excitability patterns, testing whether blocking channels implicated in complex-phenotype gene hypotheses reproduces equivalent multi-parameter phenotypes; (3) Examine whether knockout neurons in 'complex phenotype' genes show evidence of transcriptomic compensation (increased expression of related ion channel isoforms, scaffolding proteins, or modulatory kinases); (4) Perform inter-gene mechanistic comparisons: do genes predicted to disrupt similar ion channel complexes show similar phenotypic signatures, supporting shared mechanistic basis?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Stage 3 mechanistic hypotheses and conductance models for 8-12 complex-phenotype genes</w:t>
      </w:r>
    </w:p>
    <w:p>
      <w:pPr>
        <w:pStyle w:val="ListParagraph"/>
        <w:numPr>
          <w:ilvl w:val="0"/>
          <w:numId w:val="2"/>
        </w:numPr>
      </w:pPr>
      <w:r>
        <w:rPr>
          <w:rFonts w:ascii="Arial" w:cs="Arial" w:eastAsia="Arial" w:hAnsi="Arial"/>
          <w:sz w:val="24"/>
          <w:szCs w:val="24"/>
        </w:rPr>
        <w:t xml:space="preserve">Structural annotation databases: RSCB PDB, ClinVar (human mutations and functional consequences), dbNSFP (disease-associated variant predictions), CADD (Combined Annotation Dependent Depletion scoring)</w:t>
      </w:r>
    </w:p>
    <w:p>
      <w:pPr>
        <w:pStyle w:val="ListParagraph"/>
        <w:numPr>
          <w:ilvl w:val="0"/>
          <w:numId w:val="2"/>
        </w:numPr>
      </w:pPr>
      <w:r>
        <w:rPr>
          <w:rFonts w:ascii="Arial" w:cs="Arial" w:eastAsia="Arial" w:hAnsi="Arial"/>
          <w:sz w:val="24"/>
          <w:szCs w:val="24"/>
        </w:rPr>
        <w:t xml:space="preserve">Pharmacology literature and experimental data: effects of channel-selective blockers (tetrodotoxin for sodium channels, tetraethylammonium for potassium channels, various calcium channel blockers) on measured excitability parameters from control recordings</w:t>
      </w:r>
    </w:p>
    <w:p>
      <w:pPr>
        <w:pStyle w:val="ListParagraph"/>
        <w:numPr>
          <w:ilvl w:val="0"/>
          <w:numId w:val="2"/>
        </w:numPr>
      </w:pPr>
      <w:r>
        <w:rPr>
          <w:rFonts w:ascii="Arial" w:cs="Arial" w:eastAsia="Arial" w:hAnsi="Arial"/>
          <w:sz w:val="24"/>
          <w:szCs w:val="24"/>
        </w:rPr>
        <w:t xml:space="preserve">Transcriptomic datasets: bulk RNA-seq or single-cell RNA-seq from neurons of each DEE gene knockout at developmental stages E8, E12, E16, E20, quantifying expression of ion channel alpha-subunits, beta-subunits, and scaffolding proteins</w:t>
      </w:r>
    </w:p>
    <w:p>
      <w:pPr>
        <w:pStyle w:val="ListParagraph"/>
        <w:numPr>
          <w:ilvl w:val="0"/>
          <w:numId w:val="2"/>
        </w:numPr>
      </w:pPr>
      <w:r>
        <w:rPr>
          <w:rFonts w:ascii="Arial" w:cs="Arial" w:eastAsia="Arial" w:hAnsi="Arial"/>
          <w:sz w:val="24"/>
          <w:szCs w:val="24"/>
        </w:rPr>
        <w:t xml:space="preserve">Protein interaction network data: STRING, BioGRID, literature-curated PPI databases showing binding partners of DEE genes, enabling identification of related proteins whose dysfunction might explain complex phenotypes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PDBe (Protein Data Bank Europe) and PyMOL for 3D protein structure visualization and mutation impact assessment (rotameric analysis, hydrogen bonding disruption)</w:t>
      </w:r>
    </w:p>
    <w:p>
      <w:pPr>
        <w:pStyle w:val="ListParagraph"/>
        <w:numPr>
          <w:ilvl w:val="0"/>
          <w:numId w:val="2"/>
        </w:numPr>
      </w:pPr>
      <w:r>
        <w:rPr>
          <w:rFonts w:ascii="Arial" w:cs="Arial" w:eastAsia="Arial" w:hAnsi="Arial"/>
          <w:sz w:val="24"/>
          <w:szCs w:val="24"/>
        </w:rPr>
        <w:t xml:space="preserve">SIFT, PolyPhen2, CADD, and FoldX for computational prediction of mutation deleterious effects on protein stability and function</w:t>
      </w:r>
    </w:p>
    <w:p>
      <w:pPr>
        <w:pStyle w:val="ListParagraph"/>
        <w:numPr>
          <w:ilvl w:val="0"/>
          <w:numId w:val="2"/>
        </w:numPr>
      </w:pPr>
      <w:r>
        <w:rPr>
          <w:rFonts w:ascii="Arial" w:cs="Arial" w:eastAsia="Arial" w:hAnsi="Arial"/>
          <w:sz w:val="24"/>
          <w:szCs w:val="24"/>
        </w:rPr>
        <w:t xml:space="preserve">R DESeq2 and limma for differential gene expression analysis of transcriptomic data, identifying compensation patterns (up-regulation of related ion channels in knockouts)</w:t>
      </w:r>
    </w:p>
    <w:p>
      <w:pPr>
        <w:pStyle w:val="ListParagraph"/>
        <w:numPr>
          <w:ilvl w:val="0"/>
          <w:numId w:val="2"/>
        </w:numPr>
      </w:pPr>
      <w:r>
        <w:rPr>
          <w:rFonts w:ascii="Arial" w:cs="Arial" w:eastAsia="Arial" w:hAnsi="Arial"/>
          <w:sz w:val="24"/>
          <w:szCs w:val="24"/>
        </w:rPr>
        <w:t xml:space="preserve">STRING and Cytoscape for protein interaction network analysis and topological assessment of which proteins are central hubs whose disruption would affect multiple ion channel complexes</w:t>
      </w:r>
    </w:p>
    <w:p>
      <w:pPr>
        <w:pStyle w:val="ListParagraph"/>
        <w:numPr>
          <w:ilvl w:val="0"/>
          <w:numId w:val="2"/>
        </w:numPr>
      </w:pPr>
      <w:r>
        <w:rPr>
          <w:rFonts w:ascii="Arial" w:cs="Arial" w:eastAsia="Arial" w:hAnsi="Arial"/>
          <w:sz w:val="24"/>
          <w:szCs w:val="24"/>
        </w:rPr>
        <w:t xml:space="preserve">Meta-analysis tools: systematic literature mining for reported effects of mutations in candidate ion channels on excitability parameters (automated PubMed querying for parameter-specific effects)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of 8-12 complex-phenotype genes, retrieve all reported human mutations from ClinVar and UniProt, document their functional consequences (gain-of-function, loss-of-function, altered gating kinetics), and assess whether the proposed knockouts' multi-parameter phenotypes are consistent with known mutation consequences in the predicted ion channel targets. If inconsistencies exist, refine mechanistic hypotheses.</w:t>
      </w:r>
    </w:p>
    <w:p>
      <w:pPr>
        <w:pStyle w:val="ListParagraph"/>
        <w:numPr>
          <w:ilvl w:val="0"/>
          <w:numId w:val="2"/>
        </w:numPr>
      </w:pPr>
      <w:r>
        <w:rPr>
          <w:rFonts w:ascii="Arial" w:cs="Arial" w:eastAsia="Arial" w:hAnsi="Arial"/>
          <w:i/>
          <w:iCs/>
          <w:sz w:val="24"/>
          <w:szCs w:val="24"/>
        </w:rPr>
        <w:t xml:space="preserve">Query published pharmacology experiments where specific ion channel blockers (e.g., tetrodotoxin for INa, 4-AP for IK fast, Ba2+ for IK inward-rectifier) were applied to control neurons and effects on excitability parameters were measured. Compare parameter changes induced by pharmacological channel blockade to parameter changes observed in complex-phenotype gene knockouts, testing whether hypothesized ion channel dysfunctions can reproduce observed multi-parameter phenotypes.</w:t>
      </w:r>
    </w:p>
    <w:p>
      <w:pPr>
        <w:pStyle w:val="ListParagraph"/>
        <w:numPr>
          <w:ilvl w:val="0"/>
          <w:numId w:val="2"/>
        </w:numPr>
      </w:pPr>
      <w:r>
        <w:rPr>
          <w:rFonts w:ascii="Arial" w:cs="Arial" w:eastAsia="Arial" w:hAnsi="Arial"/>
          <w:i/>
          <w:iCs/>
          <w:sz w:val="24"/>
          <w:szCs w:val="24"/>
        </w:rPr>
        <w:t xml:space="preserve">Perform differential expression analysis on transcriptomic data from each complex-phenotype gene knockout (versus wild-type controls at matched developmental stage), identifying significantly up-regulated or down-regulated ion channel genes, scaffolding proteins (e.g., ankyrin, spectrin, PSD95), and regulatory kinases (e.g., PKA, PKC targets). Hypothesize that increased expression of specific ion channels might represent developmental compensation attempting to restore normal excitability properties.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Cross-validation matrix documenting consistency of proposed mechanistic hypotheses (predicted ion channel dysfunctions) with: (1) structural consequences of mutations documented in literature; (2) pharmacological effects of channel-selective blockers applied to controls; (3) known functional consequences of mutations in predicted channel genes; (4) transcriptomic compensation patterns observed in knockouts</w:t>
      </w:r>
    </w:p>
    <w:p>
      <w:pPr>
        <w:pStyle w:val="ListParagraph"/>
        <w:numPr>
          <w:ilvl w:val="0"/>
          <w:numId w:val="2"/>
        </w:numPr>
      </w:pPr>
      <w:r>
        <w:rPr>
          <w:rFonts w:ascii="Arial" w:cs="Arial" w:eastAsia="Arial" w:hAnsi="Arial"/>
          <w:sz w:val="24"/>
          <w:szCs w:val="24"/>
        </w:rPr>
        <w:t xml:space="preserve">Ranked mechanistic hypothesis refinement: update Stage 3 hypotheses based on validation evidence, assigning confidence scores (high/medium/low) to each hypothesis based on cross-validation evidence strength, noting remaining uncertainties and experiments needed for definitive validation</w:t>
      </w:r>
    </w:p>
    <w:p>
      <w:pPr>
        <w:pStyle w:val="ListParagraph"/>
        <w:numPr>
          <w:ilvl w:val="0"/>
          <w:numId w:val="2"/>
        </w:numPr>
      </w:pPr>
      <w:r>
        <w:rPr>
          <w:rFonts w:ascii="Arial" w:cs="Arial" w:eastAsia="Arial" w:hAnsi="Arial"/>
          <w:sz w:val="24"/>
          <w:szCs w:val="24"/>
        </w:rPr>
        <w:t xml:space="preserve">Gene-to-mechanism relationship network: Cytoscape visualization showing DEE genes (nodes) connected by edges indicating shared mechanistic basis (e.g., both disrupt sodium channel complexes, both show transcriptomic compensation of potassium channels), enabling identification of functionally related gene groups</w:t>
      </w:r>
    </w:p>
    <w:p>
      <w:pPr>
        <w:pStyle w:val="ListParagraph"/>
        <w:numPr>
          <w:ilvl w:val="0"/>
          <w:numId w:val="2"/>
        </w:numPr>
      </w:pPr>
      <w:r>
        <w:rPr>
          <w:rFonts w:ascii="Arial" w:cs="Arial" w:eastAsia="Arial" w:hAnsi="Arial"/>
          <w:sz w:val="24"/>
          <w:szCs w:val="24"/>
        </w:rPr>
        <w:t xml:space="preserve">Pharmacology prediction table: for each complex-phenotype gene, list predicted channel dysfunctions and specific pharmacological agents (with concentrations) that should reproduce equivalent multi-parameter phenotypes if prediction is correct; ready for experimental validation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validation report (Word) with embedded literature citations and structural figures, cross-validation evidence matrix (Excel with color-coded confidence scores), Cytoscape network files (.cys format), and pharmacology prediction workbook (CSV with reference citations for drug concentrations)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mechanistic findings into unifying biological frameworks explaining complex, biphasic phenotypes. Develop taxonomy of complex-phenotype mechanisms: (1) 'scaffolding disruption' genes whose knockout displaces multiple ion channels from functional complexes, producing opposing effects on different channels; (2) 'developmental switch failure' genes whose knockout prevents normal maturation-dependent isoform switching; (3) 'ion channel modulation' genes whose knockout disrupts developmentally-regulated phosphorylation or other post-translational modifications affecting multiple conductances; (4) 'subunit assembly' genes encoding auxiliary subunits needed for proper ion channel trafficking and gating, whose knockout produces multiple secondary channel dysfunctions. For each mechanism class, identify molecular principles explaining how single lesions produce apparently contradictory parameter changes. Construct predictive models enabling prediction of complex phenotypes for future DEE genes based on gene annotation and protein interaction patterns.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mechanistic hypotheses for 8-12 complex-phenotype genes from Stage 4</w:t>
      </w:r>
    </w:p>
    <w:p>
      <w:pPr>
        <w:pStyle w:val="ListParagraph"/>
        <w:numPr>
          <w:ilvl w:val="0"/>
          <w:numId w:val="2"/>
        </w:numPr>
      </w:pPr>
      <w:r>
        <w:rPr>
          <w:rFonts w:ascii="Arial" w:cs="Arial" w:eastAsia="Arial" w:hAnsi="Arial"/>
          <w:sz w:val="24"/>
          <w:szCs w:val="24"/>
        </w:rPr>
        <w:t xml:space="preserve">Complete literature review: functional roles of each complex-phenotype gene, known protein interactions, developmental expression patterns, and mechanisms of ion channel regulation</w:t>
      </w:r>
    </w:p>
    <w:p>
      <w:pPr>
        <w:pStyle w:val="ListParagraph"/>
        <w:numPr>
          <w:ilvl w:val="0"/>
          <w:numId w:val="2"/>
        </w:numPr>
      </w:pPr>
      <w:r>
        <w:rPr>
          <w:rFonts w:ascii="Arial" w:cs="Arial" w:eastAsia="Arial" w:hAnsi="Arial"/>
          <w:sz w:val="24"/>
          <w:szCs w:val="24"/>
        </w:rPr>
        <w:t xml:space="preserve">Cross-gene comparison data: phenotypic similarity matrices and parameter correlation patterns for genes sharing predicted mechanistic basis</w:t>
      </w:r>
    </w:p>
    <w:p>
      <w:pPr>
        <w:pStyle w:val="ListParagraph"/>
        <w:numPr>
          <w:ilvl w:val="0"/>
          <w:numId w:val="2"/>
        </w:numPr>
      </w:pPr>
      <w:r>
        <w:rPr>
          <w:rFonts w:ascii="Arial" w:cs="Arial" w:eastAsia="Arial" w:hAnsi="Arial"/>
          <w:sz w:val="24"/>
          <w:szCs w:val="24"/>
        </w:rPr>
        <w:t xml:space="preserve">Ion channel biology principles: knowledge of sodium/potassium/calcium channel architecture, auxiliary subunits, developmental modulation mechanisms, compensatory plasticity pathways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Cytoscape for multi-level network construction: gene-to-protein-to-conductance hierarchical networks showing cascading effects of single gene mutations through molecular interaction networks to cellular phenotypes</w:t>
      </w:r>
    </w:p>
    <w:p>
      <w:pPr>
        <w:pStyle w:val="ListParagraph"/>
        <w:numPr>
          <w:ilvl w:val="0"/>
          <w:numId w:val="2"/>
        </w:numPr>
      </w:pPr>
      <w:r>
        <w:rPr>
          <w:rFonts w:ascii="Arial" w:cs="Arial" w:eastAsia="Arial" w:hAnsi="Arial"/>
          <w:sz w:val="24"/>
          <w:szCs w:val="24"/>
        </w:rPr>
        <w:t xml:space="preserve">R ggplot2 and ComplexHeatmap for publication-quality visualization of phenotypic similarity matrices and mechanistic classification schemes</w:t>
      </w:r>
    </w:p>
    <w:p>
      <w:pPr>
        <w:pStyle w:val="ListParagraph"/>
        <w:numPr>
          <w:ilvl w:val="0"/>
          <w:numId w:val="2"/>
        </w:numPr>
      </w:pPr>
      <w:r>
        <w:rPr>
          <w:rFonts w:ascii="Arial" w:cs="Arial" w:eastAsia="Arial" w:hAnsi="Arial"/>
          <w:sz w:val="24"/>
          <w:szCs w:val="24"/>
        </w:rPr>
        <w:t xml:space="preserve">BioRender for biological mechanism diagram creation: illustrated pathways showing how specific gene dysfunctions propagate through ion channel complexes to produce multi-parameter phenotypic changes</w:t>
      </w:r>
    </w:p>
    <w:p>
      <w:pPr>
        <w:pStyle w:val="ListParagraph"/>
        <w:numPr>
          <w:ilvl w:val="0"/>
          <w:numId w:val="2"/>
        </w:numPr>
      </w:pPr>
      <w:r>
        <w:rPr>
          <w:rFonts w:ascii="Arial" w:cs="Arial" w:eastAsia="Arial" w:hAnsi="Arial"/>
          <w:sz w:val="24"/>
          <w:szCs w:val="24"/>
        </w:rPr>
        <w:t xml:space="preserve">Decision tree/random forest classifiers trained on mechanistic features (protein interactions, regulatory roles, developmental expression) to predict mechanistic class of novel DEE genes</w:t>
      </w:r>
    </w:p>
    <w:p>
      <w:pPr>
        <w:pStyle w:val="ListParagraph"/>
        <w:numPr>
          <w:ilvl w:val="0"/>
          <w:numId w:val="2"/>
        </w:numPr>
      </w:pPr>
      <w:r>
        <w:rPr>
          <w:rFonts w:ascii="Arial" w:cs="Arial" w:eastAsia="Arial" w:hAnsi="Arial"/>
          <w:sz w:val="24"/>
          <w:szCs w:val="24"/>
        </w:rPr>
        <w:t xml:space="preserve">Systems biology tools: logical modeling (CellNOpt, OptLogic) for formalized mechanistic frameworks capturing cause-effect relationships between gene lesions and phenotypic outcomes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Stratify the 8-12 complex-phenotype genes into mechanistic classes: (1) analyze protein interaction networks for each gene (STRING, BioGRID), identifying if gene products interact with multiple ion channel subunits (suggesting scaffolding disruption mechanism); (2) examine developmental expression switching for genes encoding ion channel alpha or beta subunits; (3) assess whether genes encode kinases, phosphatases, or scaffolding proteins whose disruption would broadly affect ion channel regulation; (4) construct decision trees or classification rules to assign mechanistic classes with supporting evidence.</w:t>
      </w:r>
    </w:p>
    <w:p>
      <w:pPr>
        <w:pStyle w:val="ListParagraph"/>
        <w:numPr>
          <w:ilvl w:val="0"/>
          <w:numId w:val="2"/>
        </w:numPr>
      </w:pPr>
      <w:r>
        <w:rPr>
          <w:rFonts w:ascii="Arial" w:cs="Arial" w:eastAsia="Arial" w:hAnsi="Arial"/>
          <w:i/>
          <w:iCs/>
          <w:sz w:val="24"/>
          <w:szCs w:val="24"/>
        </w:rPr>
        <w:t xml:space="preserve">For each mechanistic class, generate illustrated biological pathway diagrams showing: (1) normal wild-type state with functional molecular complexes and balanced conductance properties; (2) knockout state showing disrupted complexes and resulting ion channel displacement, mislocalization, or altered regulation; (3) cascade of molecular changes predicting multi-parameter phenotypic consequences; (4) predicted compensatory adaptations activated in response to primary lesion.</w:t>
      </w:r>
    </w:p>
    <w:p>
      <w:pPr>
        <w:pStyle w:val="ListParagraph"/>
        <w:numPr>
          <w:ilvl w:val="0"/>
          <w:numId w:val="2"/>
        </w:numPr>
      </w:pPr>
      <w:r>
        <w:rPr>
          <w:rFonts w:ascii="Arial" w:cs="Arial" w:eastAsia="Arial" w:hAnsi="Arial"/>
          <w:i/>
          <w:iCs/>
          <w:sz w:val="24"/>
          <w:szCs w:val="24"/>
        </w:rPr>
        <w:t xml:space="preserve">Construct machine learning classifier (random forest or gradient boosting) trained on mechanistic features (protein domain annotations, known ion channel binding partners, developmental expression timing, predicted phosphorylation targets) to predict mechanistic class of novel DEE genes, generating prediction rules: 'If gene encodes ankyrin-binding protein AND developmentally regulated AND early maturation expressed → likely scaffolding-class mechanism'.</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DEE gene mechanistic classification scheme assigning 8-12 complex-phenotype genes to 4-5 mechanistic classes (scaffolding disruption, developmental switch failure, modulation disruption, subunit assembly, network compensation), with supporting evidence documented for each classification and contingency notes for genes with mixed-mechanism characteristics</w:t>
      </w:r>
    </w:p>
    <w:p>
      <w:pPr>
        <w:pStyle w:val="ListParagraph"/>
        <w:numPr>
          <w:ilvl w:val="0"/>
          <w:numId w:val="2"/>
        </w:numPr>
      </w:pPr>
      <w:r>
        <w:rPr>
          <w:rFonts w:ascii="Arial" w:cs="Arial" w:eastAsia="Arial" w:hAnsi="Arial"/>
          <w:sz w:val="24"/>
          <w:szCs w:val="24"/>
        </w:rPr>
        <w:t xml:space="preserve">Unifying mechanistic principles document explaining: for each mechanistic class, the molecular biology principles explaining how single lesions propagate to produce complex, multi-parameter phenotypic contradictions; examples of non-neuronal systems showing analogous principles; predictions for expected phenotypic signatures of new genes assigned to each class</w:t>
      </w:r>
    </w:p>
    <w:p>
      <w:pPr>
        <w:pStyle w:val="ListParagraph"/>
        <w:numPr>
          <w:ilvl w:val="0"/>
          <w:numId w:val="2"/>
        </w:numPr>
      </w:pPr>
      <w:r>
        <w:rPr>
          <w:rFonts w:ascii="Arial" w:cs="Arial" w:eastAsia="Arial" w:hAnsi="Arial"/>
          <w:sz w:val="24"/>
          <w:szCs w:val="24"/>
        </w:rPr>
        <w:t xml:space="preserve">Phenotypic signature prediction rules: decision trees or regression models enabling prediction of which multi-parameter phenotypic signatures are expected for novel DEE genes based on their annotated mechanistic class and specific molecular properties (ion channel interaction patterns, developmental expression, phosphorylation targets)</w:t>
      </w:r>
    </w:p>
    <w:p>
      <w:pPr>
        <w:pStyle w:val="ListParagraph"/>
        <w:numPr>
          <w:ilvl w:val="0"/>
          <w:numId w:val="2"/>
        </w:numPr>
      </w:pPr>
      <w:r>
        <w:rPr>
          <w:rFonts w:ascii="Arial" w:cs="Arial" w:eastAsia="Arial" w:hAnsi="Arial"/>
          <w:sz w:val="24"/>
          <w:szCs w:val="24"/>
        </w:rPr>
        <w:t xml:space="preserve">Therapeutic implications synthesis: for each mechanistic class, identify potential intervention points (e.g., scaffolding proteins might be restored by gene therapy; developmental switch genes might respond to developmental factor supplementation; modulation genes might be managed through kinase inhibitors) with supporting mechanistic rationale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Multi-panel biological mechanism diagrams (PDF/SVG created in BioRender), mechanistic classification summary table (Excel) with gene assignments and evidence strength indicators, mechanistic principles document (Word with embedded pathway figures), and predictive model documentation (Jupyter notebook with trained classifier and feature importance analysis)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publication package and scientific knowledge products suitable for presentation at high-impact neuroscience conferences and publication in top-tier journals. Create comprehensive review-quality summary documents synthesizing complex-phenotype findings into accessible narratives explaining multi-parameter signatures and their mechanistic basis. Prepare high-resolution figures for publication showing: representative complex phenotypes with annotated parameter changes; network diagrams connecting genes to predicted molecular dysfunctions; comparative phenotypic signatures across mechanistic classes; and experimental validation evidence. Compile supplementary materials documenting all computational methods, parameter definitions, statistical tests, and software implementations. Create data accessibility resources enabling research community to explore complex-phenotype signatures interactively. Generate clinical applications briefing interpreting how complex phenotypic signatures relate to disease heterogeneity and potential therapeutic windows.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Stage 5 mechanistic synthesis documents, classified gene assignments, and prediction models</w:t>
      </w:r>
    </w:p>
    <w:p>
      <w:pPr>
        <w:pStyle w:val="ListParagraph"/>
        <w:numPr>
          <w:ilvl w:val="0"/>
          <w:numId w:val="2"/>
        </w:numPr>
      </w:pPr>
      <w:r>
        <w:rPr>
          <w:rFonts w:ascii="Arial" w:cs="Arial" w:eastAsia="Arial" w:hAnsi="Arial"/>
          <w:sz w:val="24"/>
          <w:szCs w:val="24"/>
        </w:rPr>
        <w:t xml:space="preserve">Complete datasets from Stages 1-4: parameter matrices, computational analyses, cross-validation results</w:t>
      </w:r>
    </w:p>
    <w:p>
      <w:pPr>
        <w:pStyle w:val="ListParagraph"/>
        <w:numPr>
          <w:ilvl w:val="0"/>
          <w:numId w:val="2"/>
        </w:numPr>
      </w:pPr>
      <w:r>
        <w:rPr>
          <w:rFonts w:ascii="Arial" w:cs="Arial" w:eastAsia="Arial" w:hAnsi="Arial"/>
          <w:sz w:val="24"/>
          <w:szCs w:val="24"/>
        </w:rPr>
        <w:t xml:space="preserve">Publication guidelines and figure requirements from target journals (Nature Neuroscience, Neuron, Cell Reports, eLife, PLOS Biology)</w:t>
      </w:r>
    </w:p>
    <w:p>
      <w:pPr>
        <w:pStyle w:val="ListParagraph"/>
        <w:numPr>
          <w:ilvl w:val="0"/>
          <w:numId w:val="2"/>
        </w:numPr>
      </w:pPr>
      <w:r>
        <w:rPr>
          <w:rFonts w:ascii="Arial" w:cs="Arial" w:eastAsia="Arial" w:hAnsi="Arial"/>
          <w:sz w:val="24"/>
          <w:szCs w:val="24"/>
        </w:rPr>
        <w:t xml:space="preserve">Additional literature: recent reviews on developmental epilepsy mechanisms, ion channel biology, developmental neurobiology, systems neuroscience perspectives on seizure generation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BioRender and Adobe Illustrator for publication-quality mechanism diagram design with professional visual polish</w:t>
      </w:r>
    </w:p>
    <w:p>
      <w:pPr>
        <w:pStyle w:val="ListParagraph"/>
        <w:numPr>
          <w:ilvl w:val="0"/>
          <w:numId w:val="2"/>
        </w:numPr>
      </w:pPr>
      <w:r>
        <w:rPr>
          <w:rFonts w:ascii="Arial" w:cs="Arial" w:eastAsia="Arial" w:hAnsi="Arial"/>
          <w:sz w:val="24"/>
          <w:szCs w:val="24"/>
        </w:rPr>
        <w:t xml:space="preserve">R ggplot2 with ggpubr and patchwork packages for multi-panel scientific figure assembly with statistical annotations</w:t>
      </w:r>
    </w:p>
    <w:p>
      <w:pPr>
        <w:pStyle w:val="ListParagraph"/>
        <w:numPr>
          <w:ilvl w:val="0"/>
          <w:numId w:val="2"/>
        </w:numPr>
      </w:pPr>
      <w:r>
        <w:rPr>
          <w:rFonts w:ascii="Arial" w:cs="Arial" w:eastAsia="Arial" w:hAnsi="Arial"/>
          <w:sz w:val="24"/>
          <w:szCs w:val="24"/>
        </w:rPr>
        <w:t xml:space="preserve">ImageMagick and GhostScript for high-resolution figure conversion and format optimization (300+ DPI for print quality)</w:t>
      </w:r>
    </w:p>
    <w:p>
      <w:pPr>
        <w:pStyle w:val="ListParagraph"/>
        <w:numPr>
          <w:ilvl w:val="0"/>
          <w:numId w:val="2"/>
        </w:numPr>
      </w:pPr>
      <w:r>
        <w:rPr>
          <w:rFonts w:ascii="Arial" w:cs="Arial" w:eastAsia="Arial" w:hAnsi="Arial"/>
          <w:sz w:val="24"/>
          <w:szCs w:val="24"/>
        </w:rPr>
        <w:t xml:space="preserve">Pandoc and Jupyter Book for multi-format document generation (PDF, HTML, ePub) enabling diverse distribution channels</w:t>
      </w:r>
    </w:p>
    <w:p>
      <w:pPr>
        <w:pStyle w:val="ListParagraph"/>
        <w:numPr>
          <w:ilvl w:val="0"/>
          <w:numId w:val="2"/>
        </w:numPr>
      </w:pPr>
      <w:r>
        <w:rPr>
          <w:rFonts w:ascii="Arial" w:cs="Arial" w:eastAsia="Arial" w:hAnsi="Arial"/>
          <w:sz w:val="24"/>
          <w:szCs w:val="24"/>
        </w:rPr>
        <w:t xml:space="preserve">GitHub Pages or Zenodo for hosting interactive Jupyter notebooks, enabling readers to explore analyses and re-run computations</w:t>
      </w:r>
    </w:p>
    <w:p>
      <w:pPr>
        <w:pStyle w:val="ListParagraph"/>
        <w:numPr>
          <w:ilvl w:val="0"/>
          <w:numId w:val="2"/>
        </w:numPr>
      </w:pPr>
      <w:r>
        <w:rPr>
          <w:rFonts w:ascii="Arial" w:cs="Arial" w:eastAsia="Arial" w:hAnsi="Arial"/>
          <w:sz w:val="24"/>
          <w:szCs w:val="24"/>
        </w:rPr>
        <w:t xml:space="preserve">Streamlit/Dash for interactive data exploration interfaces: gene-by-gene phenotypic signature browser with filtering, parameter correlation explorer, mechanistic class lookup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comprehensive review-quality 'complex phenotypes in DEE' manuscript (12,000+ words, publication-ready format) incorporating: (1) background on DEE genes and developmental excitability; (2) systematic description of identified complex-phenotype genes with parameter profiles; (3) mechanistic synthesis explaining how single lesions produce multi-parameter contradictions; (4) cross-validation evidence supporting mechanistic hypotheses; (5) clinical implications for disease understanding; (6) future directions and open questions; (7) comprehensive reference list (150+ citations).</w:t>
      </w:r>
    </w:p>
    <w:p>
      <w:pPr>
        <w:pStyle w:val="ListParagraph"/>
        <w:numPr>
          <w:ilvl w:val="0"/>
          <w:numId w:val="2"/>
        </w:numPr>
      </w:pPr>
      <w:r>
        <w:rPr>
          <w:rFonts w:ascii="Arial" w:cs="Arial" w:eastAsia="Arial" w:hAnsi="Arial"/>
          <w:i/>
          <w:iCs/>
          <w:sz w:val="24"/>
          <w:szCs w:val="24"/>
        </w:rPr>
        <w:t xml:space="preserve">Create publication-ready figure package: (1) 2-3 figures showing representative complex-phenotype parameter profiles with annotated parameter changes and phenotypic contradictions highlighted; (2) 2-3 mechanistic pathway figures illustrating how disrupted molecules affect multiple ion channel complexes with consequent multi-parameter changes; (3) 1-2 summary figures comparing mechanistic classes and showing classification decision criteria; (4) supplementary figures (10+) showing sensitivity analyses, cross-validation evidence, pharmacology predictions, and individual gene mechanistic models.</w:t>
      </w:r>
    </w:p>
    <w:p>
      <w:pPr>
        <w:pStyle w:val="ListParagraph"/>
        <w:numPr>
          <w:ilvl w:val="0"/>
          <w:numId w:val="2"/>
        </w:numPr>
      </w:pPr>
      <w:r>
        <w:rPr>
          <w:rFonts w:ascii="Arial" w:cs="Arial" w:eastAsia="Arial" w:hAnsi="Arial"/>
          <w:i/>
          <w:iCs/>
          <w:sz w:val="24"/>
          <w:szCs w:val="24"/>
        </w:rPr>
        <w:t xml:space="preserve">Compile interactive data access resources: (1) Jupyter notebooks (Binder-compatible) enabling readers to query parameter matrices, generate correlation plots, and test mechanistic models on example data; (2) Streamlit web application enabling gene-by-gene phenotypic profile browsing with filtering by parameter ranges, mechanistic class, or developmental stage; (3) GitHub repository with complete analysis code, processed datasets, and documentation enabling computational reproducibility.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Publication-ready manuscript (Word and PDF formats) presenting systematic analysis of complex-phenotype DEE genes with complete methods, results, figures, and comprehensive supplementary materials; formatted to journal specifications with embedded references and high-resolution figures</w:t>
      </w:r>
    </w:p>
    <w:p>
      <w:pPr>
        <w:pStyle w:val="ListParagraph"/>
        <w:numPr>
          <w:ilvl w:val="0"/>
          <w:numId w:val="2"/>
        </w:numPr>
      </w:pPr>
      <w:r>
        <w:rPr>
          <w:rFonts w:ascii="Arial" w:cs="Arial" w:eastAsia="Arial" w:hAnsi="Arial"/>
          <w:sz w:val="24"/>
          <w:szCs w:val="24"/>
        </w:rPr>
        <w:t xml:space="preserve">Figure package: 8-12 main text figures plus 15-20 supplementary figures (all publication-quality, PDF/SVG format, 300+ DPI resolution) with high-resolution source files (Illustrator, PowerPoint, MATLAB/R source code) enabling journal production optimization</w:t>
      </w:r>
    </w:p>
    <w:p>
      <w:pPr>
        <w:pStyle w:val="ListParagraph"/>
        <w:numPr>
          <w:ilvl w:val="0"/>
          <w:numId w:val="2"/>
        </w:numPr>
      </w:pPr>
      <w:r>
        <w:rPr>
          <w:rFonts w:ascii="Arial" w:cs="Arial" w:eastAsia="Arial" w:hAnsi="Arial"/>
          <w:sz w:val="24"/>
          <w:szCs w:val="24"/>
        </w:rPr>
        <w:t xml:space="preserve">Interactive data portal (Streamlit-based web application) enabling: gene-based phenotypic signature lookup, parameter correlation browser, mechanistic class assignment visualization, pharmacology prediction querying, and comparative phenotypic analysis tools; hosted on institutional server with public access</w:t>
      </w:r>
    </w:p>
    <w:p>
      <w:pPr>
        <w:pStyle w:val="ListParagraph"/>
        <w:numPr>
          <w:ilvl w:val="0"/>
          <w:numId w:val="2"/>
        </w:numPr>
      </w:pPr>
      <w:r>
        <w:rPr>
          <w:rFonts w:ascii="Arial" w:cs="Arial" w:eastAsia="Arial" w:hAnsi="Arial"/>
          <w:sz w:val="24"/>
          <w:szCs w:val="24"/>
        </w:rPr>
        <w:t xml:space="preserve">Comprehensive supplementary methods and data access document (50+ pages, PDF) including: detailed parameter definitions with equations; sample size justifications; statistical testing methodology with multiple-comparison corrections; software versions and implementation details; validation studies; limitations and caveats; complete computational code listings and GitHub repository link; human-readable dataset dictionary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Multi-format scientific publication package: main manuscript (Word .docx and PDF), figure package (individual high-resolution PDFs plus PowerPoint source files with editable components), supplementary methods and materials (PDF), data access guide (HTML), interactive Jupyter notebooks (.ipynb with Binder badge for cloud execution), Streamlit application code (.py), and comprehensive GitHub repository (README.md, data folder structure, analysis scripts organized by stage, requirements.txt for dependency management)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Angelini Optopatch Electrophysiology Platform - comprehensive patch-clamp recording repository with 200+ DEE gene knockout whole-cell recordings and 100+ wild-type controls, enabling systematic extraction of 45+ biophysical parameters across developmental stages</w:t>
      </w:r>
    </w:p>
    <w:p>
      <w:pPr>
        <w:pStyle w:val="ListParagraph"/>
        <w:numPr>
          <w:ilvl w:val="0"/>
          <w:numId w:val="2"/>
        </w:numPr>
      </w:pPr>
      <w:r>
        <w:rPr>
          <w:rFonts w:ascii="Arial" w:cs="Arial" w:eastAsia="Arial" w:hAnsi="Arial"/>
          <w:sz w:val="24"/>
          <w:szCs w:val="24"/>
        </w:rPr>
        <w:t xml:space="preserve">Igor Pro (WaveMetrics) with custom kinetic fitting procedures - automated Boltzmann curve fitting, exponential time constant determination, and Hodgkin-Huxley style channel gating parameter extraction from voltage-clamp data across multiple holding potentials</w:t>
      </w:r>
    </w:p>
    <w:p>
      <w:pPr>
        <w:pStyle w:val="ListParagraph"/>
        <w:numPr>
          <w:ilvl w:val="0"/>
          <w:numId w:val="2"/>
        </w:numPr>
      </w:pPr>
      <w:r>
        <w:rPr>
          <w:rFonts w:ascii="Arial" w:cs="Arial" w:eastAsia="Arial" w:hAnsi="Arial"/>
          <w:sz w:val="24"/>
          <w:szCs w:val="24"/>
        </w:rPr>
        <w:t xml:space="preserve">scikit-learn and R hclust clustering algorithms - k-means clustering, hierarchical agglomerative clustering, silhouette score optimization, and dendrogram visualization for stratifying 40+ DEE genes into phenotypic classes based on 45-dimensional parameter signatures</w:t>
      </w:r>
    </w:p>
    <w:p>
      <w:pPr>
        <w:pStyle w:val="ListParagraph"/>
        <w:numPr>
          <w:ilvl w:val="0"/>
          <w:numId w:val="2"/>
        </w:numPr>
      </w:pPr>
      <w:r>
        <w:rPr>
          <w:rFonts w:ascii="Arial" w:cs="Arial" w:eastAsia="Arial" w:hAnsi="Arial"/>
          <w:sz w:val="24"/>
          <w:szCs w:val="24"/>
        </w:rPr>
        <w:t xml:space="preserve">UMAP and t-SNE dimensionality reduction - visualization of high-dimensional (45-parameter) phenotypic space in 2D scatter plots enabling visual assessment of phenotypic similarity and cluster separation among DEE genes</w:t>
      </w:r>
    </w:p>
    <w:p>
      <w:pPr>
        <w:pStyle w:val="ListParagraph"/>
        <w:numPr>
          <w:ilvl w:val="0"/>
          <w:numId w:val="2"/>
        </w:numPr>
      </w:pPr>
      <w:r>
        <w:rPr>
          <w:rFonts w:ascii="Arial" w:cs="Arial" w:eastAsia="Arial" w:hAnsi="Arial"/>
          <w:sz w:val="24"/>
          <w:szCs w:val="24"/>
        </w:rPr>
        <w:t xml:space="preserve">NEURON simulation environment and Brian2 - Hodgkin-Huxley conductance-based neuronal modeling with parametric modification of ion channel conductances, enabling mechanistic hypothesis testing through simulation of how measured parameter deviations affect spike generation and firing patterns</w:t>
      </w:r>
    </w:p>
    <w:p>
      <w:pPr>
        <w:pStyle w:val="ListParagraph"/>
        <w:numPr>
          <w:ilvl w:val="0"/>
          <w:numId w:val="2"/>
        </w:numPr>
      </w:pPr>
      <w:r>
        <w:rPr>
          <w:rFonts w:ascii="Arial" w:cs="Arial" w:eastAsia="Arial" w:hAnsi="Arial"/>
          <w:sz w:val="24"/>
          <w:szCs w:val="24"/>
        </w:rPr>
        <w:t xml:space="preserve">RSCB Protein Data Bank and PDBe - 3D protein structure visualization and structural annotation for mutation impact assessment, rotameric analysis, and hydrogen bonding disruption prediction for DEE gene products</w:t>
      </w:r>
    </w:p>
    <w:p>
      <w:pPr>
        <w:pStyle w:val="ListParagraph"/>
        <w:numPr>
          <w:ilvl w:val="0"/>
          <w:numId w:val="2"/>
        </w:numPr>
      </w:pPr>
      <w:r>
        <w:rPr>
          <w:rFonts w:ascii="Arial" w:cs="Arial" w:eastAsia="Arial" w:hAnsi="Arial"/>
          <w:sz w:val="24"/>
          <w:szCs w:val="24"/>
        </w:rPr>
        <w:t xml:space="preserve">SIFT, PolyPhen2, CADD, and FoldX - computational mutation effect prediction tools quantifying structural stability impacts and predicted functional consequences of mutations in complex-phenotype genes and their ion channel targets</w:t>
      </w:r>
    </w:p>
    <w:p>
      <w:pPr>
        <w:pStyle w:val="ListParagraph"/>
        <w:numPr>
          <w:ilvl w:val="0"/>
          <w:numId w:val="2"/>
        </w:numPr>
      </w:pPr>
      <w:r>
        <w:rPr>
          <w:rFonts w:ascii="Arial" w:cs="Arial" w:eastAsia="Arial" w:hAnsi="Arial"/>
          <w:sz w:val="24"/>
          <w:szCs w:val="24"/>
        </w:rPr>
        <w:t xml:space="preserve">R DESeq2 and limma - differential gene expression analysis of RNA-seq data from DEE gene knockout neurons, identifying transcriptomic compensation patterns (up-regulated ion channel isoforms, scaffolding proteins, modulatory kinases) explaining complex phenotypic signatures</w:t>
      </w:r>
    </w:p>
    <w:p>
      <w:pPr>
        <w:pStyle w:val="ListParagraph"/>
        <w:numPr>
          <w:ilvl w:val="0"/>
          <w:numId w:val="2"/>
        </w:numPr>
      </w:pPr>
      <w:r>
        <w:rPr>
          <w:rFonts w:ascii="Arial" w:cs="Arial" w:eastAsia="Arial" w:hAnsi="Arial"/>
          <w:sz w:val="24"/>
          <w:szCs w:val="24"/>
        </w:rPr>
        <w:t xml:space="preserve">STRING protein interaction network database and Cytoscape visualization - protein-protein interaction network analysis identifying shared binding partners among genes producing similar complex phenotypes, hypothesis-generating tool for mechanistic commonalities across genes</w:t>
      </w:r>
    </w:p>
    <w:p>
      <w:pPr>
        <w:pStyle w:val="ListParagraph"/>
        <w:numPr>
          <w:ilvl w:val="0"/>
          <w:numId w:val="2"/>
        </w:numPr>
      </w:pPr>
      <w:r>
        <w:rPr>
          <w:rFonts w:ascii="Arial" w:cs="Arial" w:eastAsia="Arial" w:hAnsi="Arial"/>
          <w:sz w:val="24"/>
          <w:szCs w:val="24"/>
        </w:rPr>
        <w:t xml:space="preserve">BioRender and Adobe Illustrator - professional biological mechanism diagram creation illustrating cascading molecular consequences of gene lesions, ion channel complex disruptions, and multi-parameter phenotypic outcomes suitable for publication-quality figure preparation</w:t>
      </w:r>
    </w:p>
    <w:p>
      <w:pPr>
        <w:pStyle w:val="ListParagraph"/>
        <w:numPr>
          <w:ilvl w:val="0"/>
          <w:numId w:val="2"/>
        </w:numPr>
      </w:pPr>
      <w:r>
        <w:rPr>
          <w:rFonts w:ascii="Arial" w:cs="Arial" w:eastAsia="Arial" w:hAnsi="Arial"/>
          <w:sz w:val="24"/>
          <w:szCs w:val="24"/>
        </w:rPr>
        <w:t xml:space="preserve">Streamlit and Dash web frameworks - interactive data portal development enabling research community to explore complex-phenotype signatures, query phenotypic similarities, investigate mechanistic class assignments, and test pharmacology predictions without specialized bioinformatics expertise</w:t>
      </w:r>
    </w:p>
    <w:p>
      <w:pPr>
        <w:pStyle w:val="ListParagraph"/>
        <w:numPr>
          <w:ilvl w:val="0"/>
          <w:numId w:val="2"/>
        </w:numPr>
      </w:pPr>
      <w:r>
        <w:rPr>
          <w:rFonts w:ascii="Arial" w:cs="Arial" w:eastAsia="Arial" w:hAnsi="Arial"/>
          <w:sz w:val="24"/>
          <w:szCs w:val="24"/>
        </w:rPr>
        <w:t xml:space="preserve">GitHub and Zenodo - version-controlled code repositories and open-access data archiving with DOI assignment, ensuring long-term computational reproducibility, code availability, and dataset accessibility for community-wide analysis of complex DEE gene phenotypes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2026-03-25T16:56:47.774Z</dcterms:created>
  <dcterms:modified xsi:type="dcterms:W3CDTF">2026-03-25T16:56:47.774Z</dcterms:modified>
</cp:coreProperties>
</file>

<file path=docProps/custom.xml><?xml version="1.0" encoding="utf-8"?>
<Properties xmlns="http://schemas.openxmlformats.org/officeDocument/2006/custom-properties" xmlns:vt="http://schemas.openxmlformats.org/officeDocument/2006/docPropsVTypes"/>
</file>