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#022: Genotype-Phenotype Cluster Concordance Analysis in Developmental Epileptic Encephalopathy</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Compare the functional clustering from the Angelini Optopatch data with an independent clustering based on clinical phenotype features (seizure type, age of onset, EEG pattern, developmental trajectory) extracted from the ILAE classification system and published genotype-phenotype studies.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Comprehensively compare and integrate the molecular functional clustering derived from Angelini optopatch data with independent clinical phenotype-based clustering generated from ILAE classification features. This integrative analysis evaluates whether genes clustering together by functional properties also manifest coordinated clinical presentations, identifying concordance patterns that illuminate mechanistic underpinnings of DEE heterogeneity and inform predictive models linking genetic basis to clinical phenotype.</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Multi-dimensional integrative analysis requiring harmonization of molecular and clinical data from distinct sources, statistical comparison of unsupervised clustering partitions, and identification of concordance-discordance patterns with clinical interpretation.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Systematically extract, standardize, and integrate clinical phenotype data from ILAE classification systems and published genotype-phenotype studies with molecular data.</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ILAE classification system documentation with seizure type ontologies and developmental milestone definitions</w:t>
      </w:r>
    </w:p>
    <w:p>
      <w:pPr>
        <w:pStyle w:val="ListParagraph"/>
        <w:numPr>
          <w:ilvl w:val="0"/>
          <w:numId w:val="2"/>
        </w:numPr>
      </w:pPr>
      <w:r>
        <w:rPr>
          <w:rFonts w:ascii="Arial" w:cs="Arial" w:eastAsia="Arial" w:hAnsi="Arial"/>
          <w:sz w:val="24"/>
          <w:szCs w:val="24"/>
        </w:rPr>
        <w:t xml:space="preserve">Published genotype-phenotype association studies from DEE literature (PubMed Central, Google Scholar, individual research group databases)</w:t>
      </w:r>
    </w:p>
    <w:p>
      <w:pPr>
        <w:pStyle w:val="ListParagraph"/>
        <w:numPr>
          <w:ilvl w:val="0"/>
          <w:numId w:val="2"/>
        </w:numPr>
      </w:pPr>
      <w:r>
        <w:rPr>
          <w:rFonts w:ascii="Arial" w:cs="Arial" w:eastAsia="Arial" w:hAnsi="Arial"/>
          <w:sz w:val="24"/>
          <w:szCs w:val="24"/>
        </w:rPr>
        <w:t xml:space="preserve">Clinical phenotype data matrices from major DEE cohorts (NGLY1 deficiency, DEE genetics consortia studies)</w:t>
      </w:r>
    </w:p>
    <w:p>
      <w:pPr>
        <w:pStyle w:val="ListParagraph"/>
        <w:numPr>
          <w:ilvl w:val="0"/>
          <w:numId w:val="2"/>
        </w:numPr>
      </w:pPr>
      <w:r>
        <w:rPr>
          <w:rFonts w:ascii="Arial" w:cs="Arial" w:eastAsia="Arial" w:hAnsi="Arial"/>
          <w:sz w:val="24"/>
          <w:szCs w:val="24"/>
        </w:rPr>
        <w:t xml:space="preserve">Seizure semiology classification standards (focal vs. generalized onset, motor vs. non-motor seizure types)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 Central Literature Analysis Pipeline for systematic review of genotype-phenotype associations</w:t>
      </w:r>
    </w:p>
    <w:p>
      <w:pPr>
        <w:pStyle w:val="ListParagraph"/>
        <w:numPr>
          <w:ilvl w:val="0"/>
          <w:numId w:val="2"/>
        </w:numPr>
      </w:pPr>
      <w:r>
        <w:rPr>
          <w:rFonts w:ascii="Arial" w:cs="Arial" w:eastAsia="Arial" w:hAnsi="Arial"/>
          <w:sz w:val="24"/>
          <w:szCs w:val="24"/>
        </w:rPr>
        <w:t xml:space="preserve">ILAE Genetics Commission Database (searchable registry with phenotype-genotype mappings)</w:t>
      </w:r>
    </w:p>
    <w:p>
      <w:pPr>
        <w:pStyle w:val="ListParagraph"/>
        <w:numPr>
          <w:ilvl w:val="0"/>
          <w:numId w:val="2"/>
        </w:numPr>
      </w:pPr>
      <w:r>
        <w:rPr>
          <w:rFonts w:ascii="Arial" w:cs="Arial" w:eastAsia="Arial" w:hAnsi="Arial"/>
          <w:sz w:val="24"/>
          <w:szCs w:val="24"/>
        </w:rPr>
        <w:t xml:space="preserve">DECIPHER Developmental Disorders Database for phenotype summaries linked to genetic variants</w:t>
      </w:r>
    </w:p>
    <w:p>
      <w:pPr>
        <w:pStyle w:val="ListParagraph"/>
        <w:numPr>
          <w:ilvl w:val="0"/>
          <w:numId w:val="2"/>
        </w:numPr>
      </w:pPr>
      <w:r>
        <w:rPr>
          <w:rFonts w:ascii="Arial" w:cs="Arial" w:eastAsia="Arial" w:hAnsi="Arial"/>
          <w:sz w:val="24"/>
          <w:szCs w:val="24"/>
        </w:rPr>
        <w:t xml:space="preserve">Phenopackets schema tools for standardized phenotype representation and exchange</w:t>
      </w:r>
    </w:p>
    <w:p>
      <w:pPr>
        <w:pStyle w:val="ListParagraph"/>
        <w:numPr>
          <w:ilvl w:val="0"/>
          <w:numId w:val="2"/>
        </w:numPr>
      </w:pPr>
      <w:r>
        <w:rPr>
          <w:rFonts w:ascii="Arial" w:cs="Arial" w:eastAsia="Arial" w:hAnsi="Arial"/>
          <w:sz w:val="24"/>
          <w:szCs w:val="24"/>
        </w:rPr>
        <w:t xml:space="preserve">MedDRA Medical Dictionary search interface for standardized phenotype terminology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Systematically extract clinical phenotype descriptors from published DEE case reports and cohort studies, including: seizure types (focal vs. generalized, motor vs. non-motor classification per ILAE 2017), age of seizure onset (in months, binned by developmental periods), EEG patterns (background abnormalities, seizure patterns, generalized spike-wave characteristics), and developmental trajectory (developmental quotient, speech/language outcomes, motor milestone delays).</w:t>
      </w:r>
    </w:p>
    <w:p>
      <w:pPr>
        <w:pStyle w:val="ListParagraph"/>
        <w:numPr>
          <w:ilvl w:val="0"/>
          <w:numId w:val="2"/>
        </w:numPr>
      </w:pPr>
      <w:r>
        <w:rPr>
          <w:rFonts w:ascii="Arial" w:cs="Arial" w:eastAsia="Arial" w:hAnsi="Arial"/>
          <w:i/>
          <w:iCs/>
          <w:sz w:val="24"/>
          <w:szCs w:val="24"/>
        </w:rPr>
        <w:t xml:space="preserve">Map all extracted phenotypes to standardized ontologies (Human Phenotype Ontology, UMLS medical dictionary) ensuring consistent terminology across multiple data sources with different original nomenclatures.</w:t>
      </w:r>
    </w:p>
    <w:p>
      <w:pPr>
        <w:pStyle w:val="ListParagraph"/>
        <w:numPr>
          <w:ilvl w:val="0"/>
          <w:numId w:val="2"/>
        </w:numPr>
      </w:pPr>
      <w:r>
        <w:rPr>
          <w:rFonts w:ascii="Arial" w:cs="Arial" w:eastAsia="Arial" w:hAnsi="Arial"/>
          <w:i/>
          <w:iCs/>
          <w:sz w:val="24"/>
          <w:szCs w:val="24"/>
        </w:rPr>
        <w:t xml:space="preserve">Create a comprehensive phenotype annotation table linked to individual genes, documenting: frequency of each phenotype among carriers of variants in each DEE gene, phenotype severity scores, and age-dependent phenotype evolution patterns.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clinical phenotype matrix (genes × phenotype features) with binary or ordinal values normalized across sources</w:t>
      </w:r>
    </w:p>
    <w:p>
      <w:pPr>
        <w:pStyle w:val="ListParagraph"/>
        <w:numPr>
          <w:ilvl w:val="0"/>
          <w:numId w:val="2"/>
        </w:numPr>
      </w:pPr>
      <w:r>
        <w:rPr>
          <w:rFonts w:ascii="Arial" w:cs="Arial" w:eastAsia="Arial" w:hAnsi="Arial"/>
          <w:sz w:val="24"/>
          <w:szCs w:val="24"/>
        </w:rPr>
        <w:t xml:space="preserve">Phenotype terminology mapping table converting original study descriptors to standardized HPO/UMLS terms</w:t>
      </w:r>
    </w:p>
    <w:p>
      <w:pPr>
        <w:pStyle w:val="ListParagraph"/>
        <w:numPr>
          <w:ilvl w:val="0"/>
          <w:numId w:val="2"/>
        </w:numPr>
      </w:pPr>
      <w:r>
        <w:rPr>
          <w:rFonts w:ascii="Arial" w:cs="Arial" w:eastAsia="Arial" w:hAnsi="Arial"/>
          <w:sz w:val="24"/>
          <w:szCs w:val="24"/>
        </w:rPr>
        <w:t xml:space="preserve">Metadata documentation including study source, cohort size, ascertainment criteria, and data quality indicators for each entry</w:t>
      </w:r>
    </w:p>
    <w:p>
      <w:pPr>
        <w:pStyle w:val="ListParagraph"/>
        <w:numPr>
          <w:ilvl w:val="0"/>
          <w:numId w:val="2"/>
        </w:numPr>
      </w:pPr>
      <w:r>
        <w:rPr>
          <w:rFonts w:ascii="Arial" w:cs="Arial" w:eastAsia="Arial" w:hAnsi="Arial"/>
          <w:sz w:val="24"/>
          <w:szCs w:val="24"/>
        </w:rPr>
        <w:t xml:space="preserve">Chronology data defining age-dependent phenotype expression patterns and developmental milestone timing</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phenotype matrices (.csv), standardized ontology mappings (.tsv), metadata ledger (.xlsx), phenotype quality assessment report (.txt)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Process and normalize heterogeneous clinical phenotype data to generate a disease-specific phenotype feature space.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clinical phenotype matrix from multiple sources with varying formats and completeness</w:t>
      </w:r>
    </w:p>
    <w:p>
      <w:pPr>
        <w:pStyle w:val="ListParagraph"/>
        <w:numPr>
          <w:ilvl w:val="0"/>
          <w:numId w:val="2"/>
        </w:numPr>
      </w:pPr>
      <w:r>
        <w:rPr>
          <w:rFonts w:ascii="Arial" w:cs="Arial" w:eastAsia="Arial" w:hAnsi="Arial"/>
          <w:sz w:val="24"/>
          <w:szCs w:val="24"/>
        </w:rPr>
        <w:t xml:space="preserve">Angelini optopatch functional cluster assignments and functional feature data</w:t>
      </w:r>
    </w:p>
    <w:p>
      <w:pPr>
        <w:pStyle w:val="ListParagraph"/>
        <w:numPr>
          <w:ilvl w:val="0"/>
          <w:numId w:val="2"/>
        </w:numPr>
      </w:pPr>
      <w:r>
        <w:rPr>
          <w:rFonts w:ascii="Arial" w:cs="Arial" w:eastAsia="Arial" w:hAnsi="Arial"/>
          <w:sz w:val="24"/>
          <w:szCs w:val="24"/>
        </w:rPr>
        <w:t xml:space="preserve">ILAE age-specific developmental milestone standards for normalizing developmental delay quantification</w:t>
      </w:r>
    </w:p>
    <w:p>
      <w:pPr>
        <w:pStyle w:val="ListParagraph"/>
        <w:numPr>
          <w:ilvl w:val="0"/>
          <w:numId w:val="2"/>
        </w:numPr>
      </w:pPr>
      <w:r>
        <w:rPr>
          <w:rFonts w:ascii="Arial" w:cs="Arial" w:eastAsia="Arial" w:hAnsi="Arial"/>
          <w:sz w:val="24"/>
          <w:szCs w:val="24"/>
        </w:rPr>
        <w:t xml:space="preserve">EEG pattern classification schemes and electrographic severity scoring systems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Python pandas/scikit-learn for missing value imputation and feature normalization</w:t>
      </w:r>
    </w:p>
    <w:p>
      <w:pPr>
        <w:pStyle w:val="ListParagraph"/>
        <w:numPr>
          <w:ilvl w:val="0"/>
          <w:numId w:val="2"/>
        </w:numPr>
      </w:pPr>
      <w:r>
        <w:rPr>
          <w:rFonts w:ascii="Arial" w:cs="Arial" w:eastAsia="Arial" w:hAnsi="Arial"/>
          <w:sz w:val="24"/>
          <w:szCs w:val="24"/>
        </w:rPr>
        <w:t xml:space="preserve">MICE (Multivariate Imputation by Chained Equations) for handling missing phenotype data</w:t>
      </w:r>
    </w:p>
    <w:p>
      <w:pPr>
        <w:pStyle w:val="ListParagraph"/>
        <w:numPr>
          <w:ilvl w:val="0"/>
          <w:numId w:val="2"/>
        </w:numPr>
      </w:pPr>
      <w:r>
        <w:rPr>
          <w:rFonts w:ascii="Arial" w:cs="Arial" w:eastAsia="Arial" w:hAnsi="Arial"/>
          <w:sz w:val="24"/>
          <w:szCs w:val="24"/>
        </w:rPr>
        <w:t xml:space="preserve">Feature scaling libraries (StandardScaler, RobustScaler) for normalizing heterogeneous phenotype metrics</w:t>
      </w:r>
    </w:p>
    <w:p>
      <w:pPr>
        <w:pStyle w:val="ListParagraph"/>
        <w:numPr>
          <w:ilvl w:val="0"/>
          <w:numId w:val="2"/>
        </w:numPr>
      </w:pPr>
      <w:r>
        <w:rPr>
          <w:rFonts w:ascii="Arial" w:cs="Arial" w:eastAsia="Arial" w:hAnsi="Arial"/>
          <w:sz w:val="24"/>
          <w:szCs w:val="24"/>
        </w:rPr>
        <w:t xml:space="preserve">Principal Component Analysis (PCA) for dimensionality reduction of high-dimensional phenotype spaces</w:t>
      </w:r>
    </w:p>
    <w:p>
      <w:pPr>
        <w:pStyle w:val="ListParagraph"/>
        <w:numPr>
          <w:ilvl w:val="0"/>
          <w:numId w:val="2"/>
        </w:numPr>
      </w:pPr>
      <w:r>
        <w:rPr>
          <w:rFonts w:ascii="Arial" w:cs="Arial" w:eastAsia="Arial" w:hAnsi="Arial"/>
          <w:sz w:val="24"/>
          <w:szCs w:val="24"/>
        </w:rPr>
        <w:t xml:space="preserve">bioinformatics R packages (imputeTS, mice) for time-series phenotype data handling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Implement missing data imputation strategies for the phenotype matrix, applying MICE algorithms with 20 multiple imputation cycles to preserve uncertainty while enabling clustering of genes with incomplete phenotype information.</w:t>
      </w:r>
    </w:p>
    <w:p>
      <w:pPr>
        <w:pStyle w:val="ListParagraph"/>
        <w:numPr>
          <w:ilvl w:val="0"/>
          <w:numId w:val="2"/>
        </w:numPr>
      </w:pPr>
      <w:r>
        <w:rPr>
          <w:rFonts w:ascii="Arial" w:cs="Arial" w:eastAsia="Arial" w:hAnsi="Arial"/>
          <w:i/>
          <w:iCs/>
          <w:sz w:val="24"/>
          <w:szCs w:val="24"/>
        </w:rPr>
        <w:t xml:space="preserve">Normalize all phenotype features to a common scale (0-1 range per feature), applying separate scaling for categorical phenotypes (seizure type classifications) versus continuous phenotypes (age of onset in months, developmental quotient scores).</w:t>
      </w:r>
    </w:p>
    <w:p>
      <w:pPr>
        <w:pStyle w:val="ListParagraph"/>
        <w:numPr>
          <w:ilvl w:val="0"/>
          <w:numId w:val="2"/>
        </w:numPr>
      </w:pPr>
      <w:r>
        <w:rPr>
          <w:rFonts w:ascii="Arial" w:cs="Arial" w:eastAsia="Arial" w:hAnsi="Arial"/>
          <w:i/>
          <w:iCs/>
          <w:sz w:val="24"/>
          <w:szCs w:val="24"/>
        </w:rPr>
        <w:t xml:space="preserve">Generate a composite phenotype severity score for each gene combining weighted seizure severity, developmental impact, EEG abnormality degree, and age-of-onset early-childhood classification, producing a single multi-dimensional phenotype fingerprint per gene.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Imputed phenotype matrix with complete data coverage and uncertainty quantification</w:t>
      </w:r>
    </w:p>
    <w:p>
      <w:pPr>
        <w:pStyle w:val="ListParagraph"/>
        <w:numPr>
          <w:ilvl w:val="0"/>
          <w:numId w:val="2"/>
        </w:numPr>
      </w:pPr>
      <w:r>
        <w:rPr>
          <w:rFonts w:ascii="Arial" w:cs="Arial" w:eastAsia="Arial" w:hAnsi="Arial"/>
          <w:sz w:val="24"/>
          <w:szCs w:val="24"/>
        </w:rPr>
        <w:t xml:space="preserve">Normalized phenotype feature table with scaling parameters documented for reproducibility</w:t>
      </w:r>
    </w:p>
    <w:p>
      <w:pPr>
        <w:pStyle w:val="ListParagraph"/>
        <w:numPr>
          <w:ilvl w:val="0"/>
          <w:numId w:val="2"/>
        </w:numPr>
      </w:pPr>
      <w:r>
        <w:rPr>
          <w:rFonts w:ascii="Arial" w:cs="Arial" w:eastAsia="Arial" w:hAnsi="Arial"/>
          <w:sz w:val="24"/>
          <w:szCs w:val="24"/>
        </w:rPr>
        <w:t xml:space="preserve">Composite phenotype severity score ranking genes by overall clinical impact</w:t>
      </w:r>
    </w:p>
    <w:p>
      <w:pPr>
        <w:pStyle w:val="ListParagraph"/>
        <w:numPr>
          <w:ilvl w:val="0"/>
          <w:numId w:val="2"/>
        </w:numPr>
      </w:pPr>
      <w:r>
        <w:rPr>
          <w:rFonts w:ascii="Arial" w:cs="Arial" w:eastAsia="Arial" w:hAnsi="Arial"/>
          <w:sz w:val="24"/>
          <w:szCs w:val="24"/>
        </w:rPr>
        <w:t xml:space="preserve">Quality assessment report documenting imputation success rates, feature completeness, and data reliability metrics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Normalized phenotype matrices (.csv), imputation parameters (.json), severity scoring table (.tsv), data quality report (.txt)</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unsupervised clustering on clinical phenotype data and compare with Angelini functional clustering.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clinical phenotype matrix (genes × phenotype features)</w:t>
      </w:r>
    </w:p>
    <w:p>
      <w:pPr>
        <w:pStyle w:val="ListParagraph"/>
        <w:numPr>
          <w:ilvl w:val="0"/>
          <w:numId w:val="2"/>
        </w:numPr>
      </w:pPr>
      <w:r>
        <w:rPr>
          <w:rFonts w:ascii="Arial" w:cs="Arial" w:eastAsia="Arial" w:hAnsi="Arial"/>
          <w:sz w:val="24"/>
          <w:szCs w:val="24"/>
        </w:rPr>
        <w:t xml:space="preserve">Angelini functional cluster assignments with membership confidence scores</w:t>
      </w:r>
    </w:p>
    <w:p>
      <w:pPr>
        <w:pStyle w:val="ListParagraph"/>
        <w:numPr>
          <w:ilvl w:val="0"/>
          <w:numId w:val="2"/>
        </w:numPr>
      </w:pPr>
      <w:r>
        <w:rPr>
          <w:rFonts w:ascii="Arial" w:cs="Arial" w:eastAsia="Arial" w:hAnsi="Arial"/>
          <w:sz w:val="24"/>
          <w:szCs w:val="24"/>
        </w:rPr>
        <w:t xml:space="preserve">Distance metrics from functional clustering (pairwise distances in functional feature space)</w:t>
      </w:r>
    </w:p>
    <w:p>
      <w:pPr>
        <w:pStyle w:val="ListParagraph"/>
        <w:numPr>
          <w:ilvl w:val="0"/>
          <w:numId w:val="2"/>
        </w:numPr>
      </w:pPr>
      <w:r>
        <w:rPr>
          <w:rFonts w:ascii="Arial" w:cs="Arial" w:eastAsia="Arial" w:hAnsi="Arial"/>
          <w:sz w:val="24"/>
          <w:szCs w:val="24"/>
        </w:rPr>
        <w:t xml:space="preserve">Optional: published clinical severity scales and phenotype outcome measures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Python scikit-learn for hierarchical clustering, k-means, and consensus clustering algorithms</w:t>
      </w:r>
    </w:p>
    <w:p>
      <w:pPr>
        <w:pStyle w:val="ListParagraph"/>
        <w:numPr>
          <w:ilvl w:val="0"/>
          <w:numId w:val="2"/>
        </w:numPr>
      </w:pPr>
      <w:r>
        <w:rPr>
          <w:rFonts w:ascii="Arial" w:cs="Arial" w:eastAsia="Arial" w:hAnsi="Arial"/>
          <w:sz w:val="24"/>
          <w:szCs w:val="24"/>
        </w:rPr>
        <w:t xml:space="preserve">dynamicTreeCut (R) for dynamic hierarchical clustering and optimal cluster determination</w:t>
      </w:r>
    </w:p>
    <w:p>
      <w:pPr>
        <w:pStyle w:val="ListParagraph"/>
        <w:numPr>
          <w:ilvl w:val="0"/>
          <w:numId w:val="2"/>
        </w:numPr>
      </w:pPr>
      <w:r>
        <w:rPr>
          <w:rFonts w:ascii="Arial" w:cs="Arial" w:eastAsia="Arial" w:hAnsi="Arial"/>
          <w:sz w:val="24"/>
          <w:szCs w:val="24"/>
        </w:rPr>
        <w:t xml:space="preserve">SigClust package for cluster stability assessment and determining optimal cluster count</w:t>
      </w:r>
    </w:p>
    <w:p>
      <w:pPr>
        <w:pStyle w:val="ListParagraph"/>
        <w:numPr>
          <w:ilvl w:val="0"/>
          <w:numId w:val="2"/>
        </w:numPr>
      </w:pPr>
      <w:r>
        <w:rPr>
          <w:rFonts w:ascii="Arial" w:cs="Arial" w:eastAsia="Arial" w:hAnsi="Arial"/>
          <w:sz w:val="24"/>
          <w:szCs w:val="24"/>
        </w:rPr>
        <w:t xml:space="preserve">cluster R package (silhouette, gap statistic) for cluster quality evaluation</w:t>
      </w:r>
    </w:p>
    <w:p>
      <w:pPr>
        <w:pStyle w:val="ListParagraph"/>
        <w:numPr>
          <w:ilvl w:val="0"/>
          <w:numId w:val="2"/>
        </w:numPr>
      </w:pPr>
      <w:r>
        <w:rPr>
          <w:rFonts w:ascii="Arial" w:cs="Arial" w:eastAsia="Arial" w:hAnsi="Arial"/>
          <w:sz w:val="24"/>
          <w:szCs w:val="24"/>
        </w:rPr>
        <w:t xml:space="preserve">NMI/ARI metrics (Adjusted Rand Index, Normalized Mutual Information) for clustering partition comparison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Apply multiple unsupervised clustering algorithms to the clinical phenotype matrix (hierarchical clustering with Ward linkage, k-means with k=3-8, DBSCAN with varying epsilon) to identify optimal clinical phenotype-based gene groupings.</w:t>
      </w:r>
    </w:p>
    <w:p>
      <w:pPr>
        <w:pStyle w:val="ListParagraph"/>
        <w:numPr>
          <w:ilvl w:val="0"/>
          <w:numId w:val="2"/>
        </w:numPr>
      </w:pPr>
      <w:r>
        <w:rPr>
          <w:rFonts w:ascii="Arial" w:cs="Arial" w:eastAsia="Arial" w:hAnsi="Arial"/>
          <w:i/>
          <w:iCs/>
          <w:sz w:val="24"/>
          <w:szCs w:val="24"/>
        </w:rPr>
        <w:t xml:space="preserve">Determine optimal cluster count for clinical phenotype clustering using gap statistic and silhouette coefficient methods, comparing stability across multiple algorithms to identify robust clinical phenotype clusters.</w:t>
      </w:r>
    </w:p>
    <w:p>
      <w:pPr>
        <w:pStyle w:val="ListParagraph"/>
        <w:numPr>
          <w:ilvl w:val="0"/>
          <w:numId w:val="2"/>
        </w:numPr>
      </w:pPr>
      <w:r>
        <w:rPr>
          <w:rFonts w:ascii="Arial" w:cs="Arial" w:eastAsia="Arial" w:hAnsi="Arial"/>
          <w:i/>
          <w:iCs/>
          <w:sz w:val="24"/>
          <w:szCs w:val="24"/>
        </w:rPr>
        <w:t xml:space="preserve">Calculate pairwise Adjusted Rand Index (ARI) and Normalized Mutual Information (NMI) between the clinical phenotype clustering and Angelini functional clustering, quantifying overall concordance on a scale from -1 (discordant) to 1 (perfect agreement).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Clinical phenotype-based clustering dendrogram with optimal cluster assignments and membership confidence values</w:t>
      </w:r>
    </w:p>
    <w:p>
      <w:pPr>
        <w:pStyle w:val="ListParagraph"/>
        <w:numPr>
          <w:ilvl w:val="0"/>
          <w:numId w:val="2"/>
        </w:numPr>
      </w:pPr>
      <w:r>
        <w:rPr>
          <w:rFonts w:ascii="Arial" w:cs="Arial" w:eastAsia="Arial" w:hAnsi="Arial"/>
          <w:sz w:val="24"/>
          <w:szCs w:val="24"/>
        </w:rPr>
        <w:t xml:space="preserve">Cluster comparison metrics table (ARI, NMI scores) with statistical significance testing</w:t>
      </w:r>
    </w:p>
    <w:p>
      <w:pPr>
        <w:pStyle w:val="ListParagraph"/>
        <w:numPr>
          <w:ilvl w:val="0"/>
          <w:numId w:val="2"/>
        </w:numPr>
      </w:pPr>
      <w:r>
        <w:rPr>
          <w:rFonts w:ascii="Arial" w:cs="Arial" w:eastAsia="Arial" w:hAnsi="Arial"/>
          <w:sz w:val="24"/>
          <w:szCs w:val="24"/>
        </w:rPr>
        <w:t xml:space="preserve">Cluster quality metrics (silhouette coefficients, gap statistics, within-cluster sum of squares) demonstrating clustering robustness</w:t>
      </w:r>
    </w:p>
    <w:p>
      <w:pPr>
        <w:pStyle w:val="ListParagraph"/>
        <w:numPr>
          <w:ilvl w:val="0"/>
          <w:numId w:val="2"/>
        </w:numPr>
      </w:pPr>
      <w:r>
        <w:rPr>
          <w:rFonts w:ascii="Arial" w:cs="Arial" w:eastAsia="Arial" w:hAnsi="Arial"/>
          <w:sz w:val="24"/>
          <w:szCs w:val="24"/>
        </w:rPr>
        <w:t xml:space="preserve">Contingency table cross-tabulating clinical phenotype clusters against Angelini functional clusters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Clustering dendrogram image (PDF/SVG), cluster assignment table (.csv), comparison statistics file (.tsv), quality metrics summary (.txt)</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phenotype-based clustering against independent clinical datasets and assess predictive accuracy.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Clinical phenotype-based cluster assignments for genes</w:t>
      </w:r>
    </w:p>
    <w:p>
      <w:pPr>
        <w:pStyle w:val="ListParagraph"/>
        <w:numPr>
          <w:ilvl w:val="0"/>
          <w:numId w:val="2"/>
        </w:numPr>
      </w:pPr>
      <w:r>
        <w:rPr>
          <w:rFonts w:ascii="Arial" w:cs="Arial" w:eastAsia="Arial" w:hAnsi="Arial"/>
          <w:sz w:val="24"/>
          <w:szCs w:val="24"/>
        </w:rPr>
        <w:t xml:space="preserve">Independent DEE cohort data from different research groups or populations</w:t>
      </w:r>
    </w:p>
    <w:p>
      <w:pPr>
        <w:pStyle w:val="ListParagraph"/>
        <w:numPr>
          <w:ilvl w:val="0"/>
          <w:numId w:val="2"/>
        </w:numPr>
      </w:pPr>
      <w:r>
        <w:rPr>
          <w:rFonts w:ascii="Arial" w:cs="Arial" w:eastAsia="Arial" w:hAnsi="Arial"/>
          <w:sz w:val="24"/>
          <w:szCs w:val="24"/>
        </w:rPr>
        <w:t xml:space="preserve">Validation phenotype features from published sequencing studies and clinical databases</w:t>
      </w:r>
    </w:p>
    <w:p>
      <w:pPr>
        <w:pStyle w:val="ListParagraph"/>
        <w:numPr>
          <w:ilvl w:val="0"/>
          <w:numId w:val="2"/>
        </w:numPr>
      </w:pPr>
      <w:r>
        <w:rPr>
          <w:rFonts w:ascii="Arial" w:cs="Arial" w:eastAsia="Arial" w:hAnsi="Arial"/>
          <w:sz w:val="24"/>
          <w:szCs w:val="24"/>
        </w:rPr>
        <w:t xml:space="preserve">Genotype-phenotype association literature with documented gene-phenotype pairs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ClinVar database for independent validation of genotype-phenotype associations</w:t>
      </w:r>
    </w:p>
    <w:p>
      <w:pPr>
        <w:pStyle w:val="ListParagraph"/>
        <w:numPr>
          <w:ilvl w:val="0"/>
          <w:numId w:val="2"/>
        </w:numPr>
      </w:pPr>
      <w:r>
        <w:rPr>
          <w:rFonts w:ascii="Arial" w:cs="Arial" w:eastAsia="Arial" w:hAnsi="Arial"/>
          <w:sz w:val="24"/>
          <w:szCs w:val="24"/>
        </w:rPr>
        <w:t xml:space="preserve">DECIPHER for cross-validation with independently ascertained developmental disorder cases</w:t>
      </w:r>
    </w:p>
    <w:p>
      <w:pPr>
        <w:pStyle w:val="ListParagraph"/>
        <w:numPr>
          <w:ilvl w:val="0"/>
          <w:numId w:val="2"/>
        </w:numPr>
      </w:pPr>
      <w:r>
        <w:rPr>
          <w:rFonts w:ascii="Arial" w:cs="Arial" w:eastAsia="Arial" w:hAnsi="Arial"/>
          <w:sz w:val="24"/>
          <w:szCs w:val="24"/>
        </w:rPr>
        <w:t xml:space="preserve">PheWAS (Phenome-Wide Association Studies) tools for broadened phenotype validation</w:t>
      </w:r>
    </w:p>
    <w:p>
      <w:pPr>
        <w:pStyle w:val="ListParagraph"/>
        <w:numPr>
          <w:ilvl w:val="0"/>
          <w:numId w:val="2"/>
        </w:numPr>
      </w:pPr>
      <w:r>
        <w:rPr>
          <w:rFonts w:ascii="Arial" w:cs="Arial" w:eastAsia="Arial" w:hAnsi="Arial"/>
          <w:sz w:val="24"/>
          <w:szCs w:val="24"/>
        </w:rPr>
        <w:t xml:space="preserve">ROC curve analysis packages (sklearn.metrics, pROC R package) for predictive accuracy assessment</w:t>
      </w:r>
    </w:p>
    <w:p>
      <w:pPr>
        <w:pStyle w:val="ListParagraph"/>
        <w:numPr>
          <w:ilvl w:val="0"/>
          <w:numId w:val="2"/>
        </w:numPr>
      </w:pPr>
      <w:r>
        <w:rPr>
          <w:rFonts w:ascii="Arial" w:cs="Arial" w:eastAsia="Arial" w:hAnsi="Arial"/>
          <w:sz w:val="24"/>
          <w:szCs w:val="24"/>
        </w:rPr>
        <w:t xml:space="preserve">Cross-validation frameworks for assessing generalization to new data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Test the clinical phenotype clustering assignment on an independent DEE cohort (held-out test set or separate published study), evaluating whether genes assigned to the same phenotype cluster consistently co-occur in patients with similar clinical presentations.</w:t>
      </w:r>
    </w:p>
    <w:p>
      <w:pPr>
        <w:pStyle w:val="ListParagraph"/>
        <w:numPr>
          <w:ilvl w:val="0"/>
          <w:numId w:val="2"/>
        </w:numPr>
      </w:pPr>
      <w:r>
        <w:rPr>
          <w:rFonts w:ascii="Arial" w:cs="Arial" w:eastAsia="Arial" w:hAnsi="Arial"/>
          <w:i/>
          <w:iCs/>
          <w:sz w:val="24"/>
          <w:szCs w:val="24"/>
        </w:rPr>
        <w:t xml:space="preserve">Perform ROC curve analysis to quantify predictive accuracy: given the phenotype cluster assignment of a gene, can we accurately predict the phenotypic profile of patients carrying variants in that gene? Calculate Area Under Curve (AUC) metrics for overall accuracy and per-cluster sensitivity.</w:t>
      </w:r>
    </w:p>
    <w:p>
      <w:pPr>
        <w:pStyle w:val="ListParagraph"/>
        <w:numPr>
          <w:ilvl w:val="0"/>
          <w:numId w:val="2"/>
        </w:numPr>
      </w:pPr>
      <w:r>
        <w:rPr>
          <w:rFonts w:ascii="Arial" w:cs="Arial" w:eastAsia="Arial" w:hAnsi="Arial"/>
          <w:i/>
          <w:iCs/>
          <w:sz w:val="24"/>
          <w:szCs w:val="24"/>
        </w:rPr>
        <w:t xml:space="preserve">Cross-validate the cluster assignments against published ClinVar and DECIPHER phenotype data, comparing automatically assigned cluster phenotype profiles against expert clinical classifications from major clinical genetics databases.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Cross-validation accuracy results (AUC scores, sensitivity/specificity per cluster) demonstrating predictive value of phenotype clustering</w:t>
      </w:r>
    </w:p>
    <w:p>
      <w:pPr>
        <w:pStyle w:val="ListParagraph"/>
        <w:numPr>
          <w:ilvl w:val="0"/>
          <w:numId w:val="2"/>
        </w:numPr>
      </w:pPr>
      <w:r>
        <w:rPr>
          <w:rFonts w:ascii="Arial" w:cs="Arial" w:eastAsia="Arial" w:hAnsi="Arial"/>
          <w:sz w:val="24"/>
          <w:szCs w:val="24"/>
        </w:rPr>
        <w:t xml:space="preserve">ROC curves and confusion matrices comparing predicted vs. observed phenotype profiles</w:t>
      </w:r>
    </w:p>
    <w:p>
      <w:pPr>
        <w:pStyle w:val="ListParagraph"/>
        <w:numPr>
          <w:ilvl w:val="0"/>
          <w:numId w:val="2"/>
        </w:numPr>
      </w:pPr>
      <w:r>
        <w:rPr>
          <w:rFonts w:ascii="Arial" w:cs="Arial" w:eastAsia="Arial" w:hAnsi="Arial"/>
          <w:sz w:val="24"/>
          <w:szCs w:val="24"/>
        </w:rPr>
        <w:t xml:space="preserve">Independent cohort validation report documenting concordance between phenotype cluster assignments and clinically ascertained phenotype patterns</w:t>
      </w:r>
    </w:p>
    <w:p>
      <w:pPr>
        <w:pStyle w:val="ListParagraph"/>
        <w:numPr>
          <w:ilvl w:val="0"/>
          <w:numId w:val="2"/>
        </w:numPr>
      </w:pPr>
      <w:r>
        <w:rPr>
          <w:rFonts w:ascii="Arial" w:cs="Arial" w:eastAsia="Arial" w:hAnsi="Arial"/>
          <w:sz w:val="24"/>
          <w:szCs w:val="24"/>
        </w:rPr>
        <w:t xml:space="preserve">Discordance analysis identifying genes with phenotype predictions inconsistent with clinical literature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Validation accuracy tables (.csv), ROC curve files (.pdf), confusion matrices (.txt), validation report (.docx)</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Conduct integrative analysis identifying concordance and discordance patterns between functional and clinical clustering.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 assignments with functional features and confidence metrics</w:t>
      </w:r>
    </w:p>
    <w:p>
      <w:pPr>
        <w:pStyle w:val="ListParagraph"/>
        <w:numPr>
          <w:ilvl w:val="0"/>
          <w:numId w:val="2"/>
        </w:numPr>
      </w:pPr>
      <w:r>
        <w:rPr>
          <w:rFonts w:ascii="Arial" w:cs="Arial" w:eastAsia="Arial" w:hAnsi="Arial"/>
          <w:sz w:val="24"/>
          <w:szCs w:val="24"/>
        </w:rPr>
        <w:t xml:space="preserve">Clinical phenotype cluster assignments with phenotype feature vectors</w:t>
      </w:r>
    </w:p>
    <w:p>
      <w:pPr>
        <w:pStyle w:val="ListParagraph"/>
        <w:numPr>
          <w:ilvl w:val="0"/>
          <w:numId w:val="2"/>
        </w:numPr>
      </w:pPr>
      <w:r>
        <w:rPr>
          <w:rFonts w:ascii="Arial" w:cs="Arial" w:eastAsia="Arial" w:hAnsi="Arial"/>
          <w:sz w:val="24"/>
          <w:szCs w:val="24"/>
        </w:rPr>
        <w:t xml:space="preserve">Validated bridge genes from functional analysis with multi-pathway involvement</w:t>
      </w:r>
    </w:p>
    <w:p>
      <w:pPr>
        <w:pStyle w:val="ListParagraph"/>
        <w:numPr>
          <w:ilvl w:val="0"/>
          <w:numId w:val="2"/>
        </w:numPr>
      </w:pPr>
      <w:r>
        <w:rPr>
          <w:rFonts w:ascii="Arial" w:cs="Arial" w:eastAsia="Arial" w:hAnsi="Arial"/>
          <w:sz w:val="24"/>
          <w:szCs w:val="24"/>
        </w:rPr>
        <w:t xml:space="preserve">Published mechanistic studies linking functional properties of genes to their clinical manifestations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Network analysis tools (igraph, Cytoscape) for visualization of cluster concordance patterns</w:t>
      </w:r>
    </w:p>
    <w:p>
      <w:pPr>
        <w:pStyle w:val="ListParagraph"/>
        <w:numPr>
          <w:ilvl w:val="0"/>
          <w:numId w:val="2"/>
        </w:numPr>
      </w:pPr>
      <w:r>
        <w:rPr>
          <w:rFonts w:ascii="Arial" w:cs="Arial" w:eastAsia="Arial" w:hAnsi="Arial"/>
          <w:sz w:val="24"/>
          <w:szCs w:val="24"/>
        </w:rPr>
        <w:t xml:space="preserve">Correspondence Analysis (CA) for identifying associations between functional and clinical cluster dimensions</w:t>
      </w:r>
    </w:p>
    <w:p>
      <w:pPr>
        <w:pStyle w:val="ListParagraph"/>
        <w:numPr>
          <w:ilvl w:val="0"/>
          <w:numId w:val="2"/>
        </w:numPr>
      </w:pPr>
      <w:r>
        <w:rPr>
          <w:rFonts w:ascii="Arial" w:cs="Arial" w:eastAsia="Arial" w:hAnsi="Arial"/>
          <w:sz w:val="24"/>
          <w:szCs w:val="24"/>
        </w:rPr>
        <w:t xml:space="preserve">Statistical testing (Fisher's exact test, chi-square tests) for cluster overlap significance</w:t>
      </w:r>
    </w:p>
    <w:p>
      <w:pPr>
        <w:pStyle w:val="ListParagraph"/>
        <w:numPr>
          <w:ilvl w:val="0"/>
          <w:numId w:val="2"/>
        </w:numPr>
      </w:pPr>
      <w:r>
        <w:rPr>
          <w:rFonts w:ascii="Arial" w:cs="Arial" w:eastAsia="Arial" w:hAnsi="Arial"/>
          <w:sz w:val="24"/>
          <w:szCs w:val="24"/>
        </w:rPr>
        <w:t xml:space="preserve">Machine learning (Random Forest, logistic regression) for identifying phenotype predictors from functional properties</w:t>
      </w:r>
    </w:p>
    <w:p>
      <w:pPr>
        <w:pStyle w:val="ListParagraph"/>
        <w:numPr>
          <w:ilvl w:val="0"/>
          <w:numId w:val="2"/>
        </w:numPr>
      </w:pPr>
      <w:r>
        <w:rPr>
          <w:rFonts w:ascii="Arial" w:cs="Arial" w:eastAsia="Arial" w:hAnsi="Arial"/>
          <w:sz w:val="24"/>
          <w:szCs w:val="24"/>
        </w:rPr>
        <w:t xml:space="preserve">clusterProfiler and GSEA for pathway analysis of concordant and discordant gene groups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a Sankey diagram or alluvial plot visualizing the flow of genes between Angelini functional clusters and clinical phenotype clusters, visually identifying major concordance patterns (genes flowing together) versus discordance (genes splitting between different cluster assignments).</w:t>
      </w:r>
    </w:p>
    <w:p>
      <w:pPr>
        <w:pStyle w:val="ListParagraph"/>
        <w:numPr>
          <w:ilvl w:val="0"/>
          <w:numId w:val="2"/>
        </w:numPr>
      </w:pPr>
      <w:r>
        <w:rPr>
          <w:rFonts w:ascii="Arial" w:cs="Arial" w:eastAsia="Arial" w:hAnsi="Arial"/>
          <w:i/>
          <w:iCs/>
          <w:sz w:val="24"/>
          <w:szCs w:val="24"/>
        </w:rPr>
        <w:t xml:space="preserve">Perform Correspondence Analysis to identify the functional and phenotypic dimensions that best separate the gene clusters, determining which functional features correlate most strongly with clinical phenotype separation.</w:t>
      </w:r>
    </w:p>
    <w:p>
      <w:pPr>
        <w:pStyle w:val="ListParagraph"/>
        <w:numPr>
          <w:ilvl w:val="0"/>
          <w:numId w:val="2"/>
        </w:numPr>
      </w:pPr>
      <w:r>
        <w:rPr>
          <w:rFonts w:ascii="Arial" w:cs="Arial" w:eastAsia="Arial" w:hAnsi="Arial"/>
          <w:i/>
          <w:iCs/>
          <w:sz w:val="24"/>
          <w:szCs w:val="24"/>
        </w:rPr>
        <w:t xml:space="preserve">Identify and characterize discordant genes—those in the same Angelini functional cluster but disparate clinical phenotype clusters (or vice versa)—analyzing whether discordant genes may represent functional redundancy, variable gene expression, or distinct disease mechanisms despite shared molecular pathways.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Concordance-discordance visualization files (Sankey diagrams, alluvial plots, heatmaps) illustrating cluster relationship patterns</w:t>
      </w:r>
    </w:p>
    <w:p>
      <w:pPr>
        <w:pStyle w:val="ListParagraph"/>
        <w:numPr>
          <w:ilvl w:val="0"/>
          <w:numId w:val="2"/>
        </w:numPr>
      </w:pPr>
      <w:r>
        <w:rPr>
          <w:rFonts w:ascii="Arial" w:cs="Arial" w:eastAsia="Arial" w:hAnsi="Arial"/>
          <w:sz w:val="24"/>
          <w:szCs w:val="24"/>
        </w:rPr>
        <w:t xml:space="preserve">Correspondence Analysis biplot identifying dimensions of maximum functional-phenotypic variation</w:t>
      </w:r>
    </w:p>
    <w:p>
      <w:pPr>
        <w:pStyle w:val="ListParagraph"/>
        <w:numPr>
          <w:ilvl w:val="0"/>
          <w:numId w:val="2"/>
        </w:numPr>
      </w:pPr>
      <w:r>
        <w:rPr>
          <w:rFonts w:ascii="Arial" w:cs="Arial" w:eastAsia="Arial" w:hAnsi="Arial"/>
          <w:sz w:val="24"/>
          <w:szCs w:val="24"/>
        </w:rPr>
        <w:t xml:space="preserve">Statistical test results (chi-square, Fisher's exact) quantifying significance of cluster overlap patterns</w:t>
      </w:r>
    </w:p>
    <w:p>
      <w:pPr>
        <w:pStyle w:val="ListParagraph"/>
        <w:numPr>
          <w:ilvl w:val="0"/>
          <w:numId w:val="2"/>
        </w:numPr>
      </w:pPr>
      <w:r>
        <w:rPr>
          <w:rFonts w:ascii="Arial" w:cs="Arial" w:eastAsia="Arial" w:hAnsi="Arial"/>
          <w:sz w:val="24"/>
          <w:szCs w:val="24"/>
        </w:rPr>
        <w:t xml:space="preserve">Discordant gene characterization table with mechanistic hypotheses explaining functional-phenotypic dissociation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Network visualization files (.svg, .pdf), correspondence analysis plots (.pdf), statistical results (.csv), discordance analysis report (.docx)</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synthesis document integrating findings and providing clinical interpretation with actionable insights.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concordance-discordance analysis with statistical validations</w:t>
      </w:r>
    </w:p>
    <w:p>
      <w:pPr>
        <w:pStyle w:val="ListParagraph"/>
        <w:numPr>
          <w:ilvl w:val="0"/>
          <w:numId w:val="2"/>
        </w:numPr>
      </w:pPr>
      <w:r>
        <w:rPr>
          <w:rFonts w:ascii="Arial" w:cs="Arial" w:eastAsia="Arial" w:hAnsi="Arial"/>
          <w:sz w:val="24"/>
          <w:szCs w:val="24"/>
        </w:rPr>
        <w:t xml:space="preserve">Mechanistic literature on functional properties and clinical manifestations of DEE genes</w:t>
      </w:r>
    </w:p>
    <w:p>
      <w:pPr>
        <w:pStyle w:val="ListParagraph"/>
        <w:numPr>
          <w:ilvl w:val="0"/>
          <w:numId w:val="2"/>
        </w:numPr>
      </w:pPr>
      <w:r>
        <w:rPr>
          <w:rFonts w:ascii="Arial" w:cs="Arial" w:eastAsia="Arial" w:hAnsi="Arial"/>
          <w:sz w:val="24"/>
          <w:szCs w:val="24"/>
        </w:rPr>
        <w:t xml:space="preserve">Clinical phenotype-gene associations from ILAE genetics resources and published studies</w:t>
      </w:r>
    </w:p>
    <w:p>
      <w:pPr>
        <w:pStyle w:val="ListParagraph"/>
        <w:numPr>
          <w:ilvl w:val="0"/>
          <w:numId w:val="2"/>
        </w:numPr>
      </w:pPr>
      <w:r>
        <w:rPr>
          <w:rFonts w:ascii="Arial" w:cs="Arial" w:eastAsia="Arial" w:hAnsi="Arial"/>
          <w:sz w:val="24"/>
          <w:szCs w:val="24"/>
        </w:rPr>
        <w:t xml:space="preserve">Predictive models relating functional clustering to clinical outcomes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markdown/Jupyter notebooks for generating comprehensive synthesis documents with integrated results</w:t>
      </w:r>
    </w:p>
    <w:p>
      <w:pPr>
        <w:pStyle w:val="ListParagraph"/>
        <w:numPr>
          <w:ilvl w:val="0"/>
          <w:numId w:val="2"/>
        </w:numPr>
      </w:pPr>
      <w:r>
        <w:rPr>
          <w:rFonts w:ascii="Arial" w:cs="Arial" w:eastAsia="Arial" w:hAnsi="Arial"/>
          <w:sz w:val="24"/>
          <w:szCs w:val="24"/>
        </w:rPr>
        <w:t xml:space="preserve">ggplot2/plotly for publication-quality visualization of multi-dimensional cluster comparisons</w:t>
      </w:r>
    </w:p>
    <w:p>
      <w:pPr>
        <w:pStyle w:val="ListParagraph"/>
        <w:numPr>
          <w:ilvl w:val="0"/>
          <w:numId w:val="2"/>
        </w:numPr>
      </w:pPr>
      <w:r>
        <w:rPr>
          <w:rFonts w:ascii="Arial" w:cs="Arial" w:eastAsia="Arial" w:hAnsi="Arial"/>
          <w:sz w:val="24"/>
          <w:szCs w:val="24"/>
        </w:rPr>
        <w:t xml:space="preserve">Cytoscape with custom styling for generating publication-grade network diagrams</w:t>
      </w:r>
    </w:p>
    <w:p>
      <w:pPr>
        <w:pStyle w:val="ListParagraph"/>
        <w:numPr>
          <w:ilvl w:val="0"/>
          <w:numId w:val="2"/>
        </w:numPr>
      </w:pPr>
      <w:r>
        <w:rPr>
          <w:rFonts w:ascii="Arial" w:cs="Arial" w:eastAsia="Arial" w:hAnsi="Arial"/>
          <w:sz w:val="24"/>
          <w:szCs w:val="24"/>
        </w:rPr>
        <w:t xml:space="preserve">Table generation tools (knitr, pandas, xtable) for formatted result tables in final documents</w:t>
      </w:r>
    </w:p>
    <w:p>
      <w:pPr>
        <w:pStyle w:val="ListParagraph"/>
        <w:numPr>
          <w:ilvl w:val="0"/>
          <w:numId w:val="2"/>
        </w:numPr>
      </w:pPr>
      <w:r>
        <w:rPr>
          <w:rFonts w:ascii="Arial" w:cs="Arial" w:eastAsia="Arial" w:hAnsi="Arial"/>
          <w:sz w:val="24"/>
          <w:szCs w:val="24"/>
        </w:rPr>
        <w:t xml:space="preserve">Literature integration tools for automated citation management and thematic synthesis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Synthesize key findings into a clinical interpretation guide describing how concordance between functional and clinical clustering supports mechanistic understanding of DEE phenotype heterogeneity, including specific examples of genes where functional properties directly predict clinical phenotype.</w:t>
      </w:r>
    </w:p>
    <w:p>
      <w:pPr>
        <w:pStyle w:val="ListParagraph"/>
        <w:numPr>
          <w:ilvl w:val="0"/>
          <w:numId w:val="2"/>
        </w:numPr>
      </w:pPr>
      <w:r>
        <w:rPr>
          <w:rFonts w:ascii="Arial" w:cs="Arial" w:eastAsia="Arial" w:hAnsi="Arial"/>
          <w:i/>
          <w:iCs/>
          <w:sz w:val="24"/>
          <w:szCs w:val="24"/>
        </w:rPr>
        <w:t xml:space="preserve">Generate a ranked table of genes for clinical prioritization, scoring genes by: (1) strength of functional-phenotypic concordance, (2) functional property uniqueness suggesting novel therapeutic targets, (3) frequency in clinical cohorts, (4) severity of associated clinical phenotype.</w:t>
      </w:r>
    </w:p>
    <w:p>
      <w:pPr>
        <w:pStyle w:val="ListParagraph"/>
        <w:numPr>
          <w:ilvl w:val="0"/>
          <w:numId w:val="2"/>
        </w:numPr>
      </w:pPr>
      <w:r>
        <w:rPr>
          <w:rFonts w:ascii="Arial" w:cs="Arial" w:eastAsia="Arial" w:hAnsi="Arial"/>
          <w:i/>
          <w:iCs/>
          <w:sz w:val="24"/>
          <w:szCs w:val="24"/>
        </w:rPr>
        <w:t xml:space="preserve">Create predictive models and decision frameworks: given a DEE patient's clinical phenotype profile, predict likely functional cluster assignment of the causal gene, enabling hypothesis-driven variant interpretation and genotype prediction from clinical data alone.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synthesis document integrating functional and clinical clustering with interpretation and clinical implications</w:t>
      </w:r>
    </w:p>
    <w:p>
      <w:pPr>
        <w:pStyle w:val="ListParagraph"/>
        <w:numPr>
          <w:ilvl w:val="0"/>
          <w:numId w:val="2"/>
        </w:numPr>
      </w:pPr>
      <w:r>
        <w:rPr>
          <w:rFonts w:ascii="Arial" w:cs="Arial" w:eastAsia="Arial" w:hAnsi="Arial"/>
          <w:sz w:val="24"/>
          <w:szCs w:val="24"/>
        </w:rPr>
        <w:t xml:space="preserve">Clinical gene prioritization table with concordance scores and actionable clinical interpretation for each gene</w:t>
      </w:r>
    </w:p>
    <w:p>
      <w:pPr>
        <w:pStyle w:val="ListParagraph"/>
        <w:numPr>
          <w:ilvl w:val="0"/>
          <w:numId w:val="2"/>
        </w:numPr>
      </w:pPr>
      <w:r>
        <w:rPr>
          <w:rFonts w:ascii="Arial" w:cs="Arial" w:eastAsia="Arial" w:hAnsi="Arial"/>
          <w:sz w:val="24"/>
          <w:szCs w:val="24"/>
        </w:rPr>
        <w:t xml:space="preserve">Predictive framework documentation describing models for phenotype-to-genotype inference</w:t>
      </w:r>
    </w:p>
    <w:p>
      <w:pPr>
        <w:pStyle w:val="ListParagraph"/>
        <w:numPr>
          <w:ilvl w:val="0"/>
          <w:numId w:val="2"/>
        </w:numPr>
      </w:pPr>
      <w:r>
        <w:rPr>
          <w:rFonts w:ascii="Arial" w:cs="Arial" w:eastAsia="Arial" w:hAnsi="Arial"/>
          <w:sz w:val="24"/>
          <w:szCs w:val="24"/>
        </w:rPr>
        <w:t xml:space="preserve">Publication-quality figures and tables suitable for peer-reviewed manuscript or clinical reference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Synthesis document (.docx/.pdf with embedded tables and figures), clinical reference tables (.xlsx with multiple sheets), predictive models (.rds, .pkl), figure archive (high-resolution SVG/PDF files)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PubMed Central/Google Scholar Literature Mining - Systematic extraction of published genotype-phenotype associations and clinical case descriptions from peer-reviewed DEE literature</w:t>
      </w:r>
    </w:p>
    <w:p>
      <w:pPr>
        <w:pStyle w:val="ListParagraph"/>
        <w:numPr>
          <w:ilvl w:val="0"/>
          <w:numId w:val="2"/>
        </w:numPr>
      </w:pPr>
      <w:r>
        <w:rPr>
          <w:rFonts w:ascii="Arial" w:cs="Arial" w:eastAsia="Arial" w:hAnsi="Arial"/>
          <w:sz w:val="24"/>
          <w:szCs w:val="24"/>
        </w:rPr>
        <w:t xml:space="preserve">ILAE Genetics Commission Database - Authoritative resource for standardized seizure classification, phenotype-genotype mappings, and clinical DEE consensus definitions</w:t>
      </w:r>
    </w:p>
    <w:p>
      <w:pPr>
        <w:pStyle w:val="ListParagraph"/>
        <w:numPr>
          <w:ilvl w:val="0"/>
          <w:numId w:val="2"/>
        </w:numPr>
      </w:pPr>
      <w:r>
        <w:rPr>
          <w:rFonts w:ascii="Arial" w:cs="Arial" w:eastAsia="Arial" w:hAnsi="Arial"/>
          <w:sz w:val="24"/>
          <w:szCs w:val="24"/>
        </w:rPr>
        <w:t xml:space="preserve">DECIPHER Developmental Disorders Database - Independent validation of genotype-phenotype associations with cross-referenced clinical phenotype summaries</w:t>
      </w:r>
    </w:p>
    <w:p>
      <w:pPr>
        <w:pStyle w:val="ListParagraph"/>
        <w:numPr>
          <w:ilvl w:val="0"/>
          <w:numId w:val="2"/>
        </w:numPr>
      </w:pPr>
      <w:r>
        <w:rPr>
          <w:rFonts w:ascii="Arial" w:cs="Arial" w:eastAsia="Arial" w:hAnsi="Arial"/>
          <w:sz w:val="24"/>
          <w:szCs w:val="24"/>
        </w:rPr>
        <w:t xml:space="preserve">Human Phenotype Ontology (HPO) - Standardized vocabulary for mapping clinical phenotype descriptors to machine-readable ontology terms enabling cross-study harmonization</w:t>
      </w:r>
    </w:p>
    <w:p>
      <w:pPr>
        <w:pStyle w:val="ListParagraph"/>
        <w:numPr>
          <w:ilvl w:val="0"/>
          <w:numId w:val="2"/>
        </w:numPr>
      </w:pPr>
      <w:r>
        <w:rPr>
          <w:rFonts w:ascii="Arial" w:cs="Arial" w:eastAsia="Arial" w:hAnsi="Arial"/>
          <w:sz w:val="24"/>
          <w:szCs w:val="24"/>
        </w:rPr>
        <w:t xml:space="preserve">Python scikit-learn - Clustering algorithms (hierarchical, k-means, DBSCAN), dimensionality reduction (PCA), and machine learning for phenotype-based gene grouping</w:t>
      </w:r>
    </w:p>
    <w:p>
      <w:pPr>
        <w:pStyle w:val="ListParagraph"/>
        <w:numPr>
          <w:ilvl w:val="0"/>
          <w:numId w:val="2"/>
        </w:numPr>
      </w:pPr>
      <w:r>
        <w:rPr>
          <w:rFonts w:ascii="Arial" w:cs="Arial" w:eastAsia="Arial" w:hAnsi="Arial"/>
          <w:sz w:val="24"/>
          <w:szCs w:val="24"/>
        </w:rPr>
        <w:t xml:space="preserve">MICE Imputation Framework - Sophisticated missing data handling for incomplete phenotype matrices using multiple imputation by chained equations</w:t>
      </w:r>
    </w:p>
    <w:p>
      <w:pPr>
        <w:pStyle w:val="ListParagraph"/>
        <w:numPr>
          <w:ilvl w:val="0"/>
          <w:numId w:val="2"/>
        </w:numPr>
      </w:pPr>
      <w:r>
        <w:rPr>
          <w:rFonts w:ascii="Arial" w:cs="Arial" w:eastAsia="Arial" w:hAnsi="Arial"/>
          <w:sz w:val="24"/>
          <w:szCs w:val="24"/>
        </w:rPr>
        <w:t xml:space="preserve">Adjusted Rand Index/Normalized Mutual Information - Statistical metrics quantifying concordance between independent clustering partitions (functional vs. clinical)</w:t>
      </w:r>
    </w:p>
    <w:p>
      <w:pPr>
        <w:pStyle w:val="ListParagraph"/>
        <w:numPr>
          <w:ilvl w:val="0"/>
          <w:numId w:val="2"/>
        </w:numPr>
      </w:pPr>
      <w:r>
        <w:rPr>
          <w:rFonts w:ascii="Arial" w:cs="Arial" w:eastAsia="Arial" w:hAnsi="Arial"/>
          <w:sz w:val="24"/>
          <w:szCs w:val="24"/>
        </w:rPr>
        <w:t xml:space="preserve">ClinVar Database - Large-scale validation of genotype-phenotype associations with assertions from clinical laboratories and literature</w:t>
      </w:r>
    </w:p>
    <w:p>
      <w:pPr>
        <w:pStyle w:val="ListParagraph"/>
        <w:numPr>
          <w:ilvl w:val="0"/>
          <w:numId w:val="2"/>
        </w:numPr>
      </w:pPr>
      <w:r>
        <w:rPr>
          <w:rFonts w:ascii="Arial" w:cs="Arial" w:eastAsia="Arial" w:hAnsi="Arial"/>
          <w:sz w:val="24"/>
          <w:szCs w:val="24"/>
        </w:rPr>
        <w:t xml:space="preserve">Correspondence Analysis (CA) - Exploratory technique identifying associations between functional and clinical clustering dimensions</w:t>
      </w:r>
    </w:p>
    <w:p>
      <w:pPr>
        <w:pStyle w:val="ListParagraph"/>
        <w:numPr>
          <w:ilvl w:val="0"/>
          <w:numId w:val="2"/>
        </w:numPr>
      </w:pPr>
      <w:r>
        <w:rPr>
          <w:rFonts w:ascii="Arial" w:cs="Arial" w:eastAsia="Arial" w:hAnsi="Arial"/>
          <w:sz w:val="24"/>
          <w:szCs w:val="24"/>
        </w:rPr>
        <w:t xml:space="preserve">Random Forest/Logistic Regression - Machine learning models for predicting clinical phenotypes from functional properties and vice versa</w:t>
      </w:r>
    </w:p>
    <w:p>
      <w:pPr>
        <w:pStyle w:val="ListParagraph"/>
        <w:numPr>
          <w:ilvl w:val="0"/>
          <w:numId w:val="2"/>
        </w:numPr>
      </w:pPr>
      <w:r>
        <w:rPr>
          <w:rFonts w:ascii="Arial" w:cs="Arial" w:eastAsia="Arial" w:hAnsi="Arial"/>
          <w:sz w:val="24"/>
          <w:szCs w:val="24"/>
        </w:rPr>
        <w:t xml:space="preserve">Cytoscape Network Visualization - Advanced network representation of gene clusters, functional relationships, and phenotype associations with customizable styling</w:t>
      </w:r>
    </w:p>
    <w:p>
      <w:pPr>
        <w:pStyle w:val="ListParagraph"/>
        <w:numPr>
          <w:ilvl w:val="0"/>
          <w:numId w:val="2"/>
        </w:numPr>
      </w:pPr>
      <w:r>
        <w:rPr>
          <w:rFonts w:ascii="Arial" w:cs="Arial" w:eastAsia="Arial" w:hAnsi="Arial"/>
          <w:sz w:val="24"/>
          <w:szCs w:val="24"/>
        </w:rPr>
        <w:t xml:space="preserve">R Markdown/Jupyter Notebooks - Reproducible analysis frameworks integrating code, results, visualizations, and narrative interpretation in comprehensive synthesis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2026-03-25T17:14:01.395Z</dcterms:created>
  <dcterms:modified xsi:type="dcterms:W3CDTF">2026-03-25T17:14:01.395Z</dcterms:modified>
</cp:coreProperties>
</file>

<file path=docProps/custom.xml><?xml version="1.0" encoding="utf-8"?>
<Properties xmlns="http://schemas.openxmlformats.org/officeDocument/2006/custom-properties" xmlns:vt="http://schemas.openxmlformats.org/officeDocument/2006/docPropsVTypes"/>
</file>