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#031: DEE RNA-seq Differential Gene Expression Profiling</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For the 50 DEE genes selected for RNA-seq characterization in Phase 1.2 of the Angelini study, retrieve the differential gene expression profiles (DEGs) following CRISPRn knockout and identify shared upregulated and downregulated genes across multiple DEE gene perturbations.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Retrieve and analyze differential gene expression profiles (DEGs) for the 50 DEE genes following CRISPRn knockout, identifying shared transcriptomic signatures and regulatory patterns across multiple DEE gene perturbations in the Angelini Phase 1.2 RNA-seq dataset.</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Advanced multi-omics analysis requiring integration of CRISPR-based knockdown models with high-throughput RNA-seq data to identify shared regulatory mechanisms and gene expression patterns across 50 different DEE gene perturbations.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Locate and retrieve publicly available DEE gene RNA-seq datasets from the Angelini Phase 1.2 study, including all sample metadata, experimental conditions, and baseline expression data.</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DEE gene list (50 genes selected for Phase 1.2 characterization)</w:t>
      </w:r>
    </w:p>
    <w:p>
      <w:pPr>
        <w:pStyle w:val="ListParagraph"/>
        <w:numPr>
          <w:ilvl w:val="0"/>
          <w:numId w:val="2"/>
        </w:numPr>
      </w:pPr>
      <w:r>
        <w:rPr>
          <w:rFonts w:ascii="Arial" w:cs="Arial" w:eastAsia="Arial" w:hAnsi="Arial"/>
          <w:sz w:val="24"/>
          <w:szCs w:val="24"/>
        </w:rPr>
        <w:t xml:space="preserve">Angelini RNA-seq Phase 1.2 study metadata and sample annotations</w:t>
      </w:r>
    </w:p>
    <w:p>
      <w:pPr>
        <w:pStyle w:val="ListParagraph"/>
        <w:numPr>
          <w:ilvl w:val="0"/>
          <w:numId w:val="2"/>
        </w:numPr>
      </w:pPr>
      <w:r>
        <w:rPr>
          <w:rFonts w:ascii="Arial" w:cs="Arial" w:eastAsia="Arial" w:hAnsi="Arial"/>
          <w:sz w:val="24"/>
          <w:szCs w:val="24"/>
        </w:rPr>
        <w:t xml:space="preserve">CRISPRn knockout experimental design specifications</w:t>
      </w:r>
    </w:p>
    <w:p>
      <w:pPr>
        <w:pStyle w:val="ListParagraph"/>
        <w:numPr>
          <w:ilvl w:val="0"/>
          <w:numId w:val="2"/>
        </w:numPr>
      </w:pPr>
      <w:r>
        <w:rPr>
          <w:rFonts w:ascii="Arial" w:cs="Arial" w:eastAsia="Arial" w:hAnsi="Arial"/>
          <w:sz w:val="24"/>
          <w:szCs w:val="24"/>
        </w:rPr>
        <w:t xml:space="preserve">Reference genome assembly and gene annotation files</w:t>
      </w:r>
    </w:p>
    <w:p>
      <w:pPr>
        <w:pStyle w:val="ListParagraph"/>
        <w:numPr>
          <w:ilvl w:val="0"/>
          <w:numId w:val="2"/>
        </w:numPr>
      </w:pPr>
      <w:r>
        <w:rPr>
          <w:rFonts w:ascii="Arial" w:cs="Arial" w:eastAsia="Arial" w:hAnsi="Arial"/>
          <w:sz w:val="24"/>
          <w:szCs w:val="24"/>
        </w:rPr>
        <w:t xml:space="preserve">Prior knowledge about DEE gene function and biological pathways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GEO (Gene Expression Omnibus) database query interface</w:t>
      </w:r>
    </w:p>
    <w:p>
      <w:pPr>
        <w:pStyle w:val="ListParagraph"/>
        <w:numPr>
          <w:ilvl w:val="0"/>
          <w:numId w:val="2"/>
        </w:numPr>
      </w:pPr>
      <w:r>
        <w:rPr>
          <w:rFonts w:ascii="Arial" w:cs="Arial" w:eastAsia="Arial" w:hAnsi="Arial"/>
          <w:sz w:val="24"/>
          <w:szCs w:val="24"/>
        </w:rPr>
        <w:t xml:space="preserve">NCBI SRA (Sequence Read Archive) for raw sequencing data retrieval</w:t>
      </w:r>
    </w:p>
    <w:p>
      <w:pPr>
        <w:pStyle w:val="ListParagraph"/>
        <w:numPr>
          <w:ilvl w:val="0"/>
          <w:numId w:val="2"/>
        </w:numPr>
      </w:pPr>
      <w:r>
        <w:rPr>
          <w:rFonts w:ascii="Arial" w:cs="Arial" w:eastAsia="Arial" w:hAnsi="Arial"/>
          <w:sz w:val="24"/>
          <w:szCs w:val="24"/>
        </w:rPr>
        <w:t xml:space="preserve">Ensembl REST API for gene annotations and ortholog information</w:t>
      </w:r>
    </w:p>
    <w:p>
      <w:pPr>
        <w:pStyle w:val="ListParagraph"/>
        <w:numPr>
          <w:ilvl w:val="0"/>
          <w:numId w:val="2"/>
        </w:numPr>
      </w:pPr>
      <w:r>
        <w:rPr>
          <w:rFonts w:ascii="Arial" w:cs="Arial" w:eastAsia="Arial" w:hAnsi="Arial"/>
          <w:sz w:val="24"/>
          <w:szCs w:val="24"/>
        </w:rPr>
        <w:t xml:space="preserve">DEE gene knowledge base and functional annotation database</w:t>
      </w:r>
    </w:p>
    <w:p>
      <w:pPr>
        <w:pStyle w:val="ListParagraph"/>
        <w:numPr>
          <w:ilvl w:val="0"/>
          <w:numId w:val="2"/>
        </w:numPr>
      </w:pPr>
      <w:r>
        <w:rPr>
          <w:rFonts w:ascii="Arial" w:cs="Arial" w:eastAsia="Arial" w:hAnsi="Arial"/>
          <w:sz w:val="24"/>
          <w:szCs w:val="24"/>
        </w:rPr>
        <w:t xml:space="preserve">Sample metadata extraction and parsing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Search GEO database for Angelini Phase 1.2 RNA-seq datasets containing CRISPRn DEE knockdown experiments</w:t>
      </w:r>
    </w:p>
    <w:p>
      <w:pPr>
        <w:pStyle w:val="ListParagraph"/>
        <w:numPr>
          <w:ilvl w:val="0"/>
          <w:numId w:val="2"/>
        </w:numPr>
      </w:pPr>
      <w:r>
        <w:rPr>
          <w:rFonts w:ascii="Arial" w:cs="Arial" w:eastAsia="Arial" w:hAnsi="Arial"/>
          <w:i/>
          <w:iCs/>
          <w:sz w:val="24"/>
          <w:szCs w:val="24"/>
        </w:rPr>
        <w:t xml:space="preserve">Retrieve complete sample information and experimental condition metadata for all 50 DEE gene perturbations</w:t>
      </w:r>
    </w:p>
    <w:p>
      <w:pPr>
        <w:pStyle w:val="ListParagraph"/>
        <w:numPr>
          <w:ilvl w:val="0"/>
          <w:numId w:val="2"/>
        </w:numPr>
      </w:pPr>
      <w:r>
        <w:rPr>
          <w:rFonts w:ascii="Arial" w:cs="Arial" w:eastAsia="Arial" w:hAnsi="Arial"/>
          <w:i/>
          <w:iCs/>
          <w:sz w:val="24"/>
          <w:szCs w:val="24"/>
        </w:rPr>
        <w:t xml:space="preserve">Verify data availability and integrity for each DEE gene knockout sample across all replicates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Complete dataset catalog with accession numbers and sample metadata</w:t>
      </w:r>
    </w:p>
    <w:p>
      <w:pPr>
        <w:pStyle w:val="ListParagraph"/>
        <w:numPr>
          <w:ilvl w:val="0"/>
          <w:numId w:val="2"/>
        </w:numPr>
      </w:pPr>
      <w:r>
        <w:rPr>
          <w:rFonts w:ascii="Arial" w:cs="Arial" w:eastAsia="Arial" w:hAnsi="Arial"/>
          <w:sz w:val="24"/>
          <w:szCs w:val="24"/>
        </w:rPr>
        <w:t xml:space="preserve">RNA-seq raw read files or processed expression matrices for all 50 DEE gene knockouts</w:t>
      </w:r>
    </w:p>
    <w:p>
      <w:pPr>
        <w:pStyle w:val="ListParagraph"/>
        <w:numPr>
          <w:ilvl w:val="0"/>
          <w:numId w:val="2"/>
        </w:numPr>
      </w:pPr>
      <w:r>
        <w:rPr>
          <w:rFonts w:ascii="Arial" w:cs="Arial" w:eastAsia="Arial" w:hAnsi="Arial"/>
          <w:sz w:val="24"/>
          <w:szCs w:val="24"/>
        </w:rPr>
        <w:t xml:space="preserve">Comprehensive sample annotation table with knockout targets and experimental conditions</w:t>
      </w:r>
    </w:p>
    <w:p>
      <w:pPr>
        <w:pStyle w:val="ListParagraph"/>
        <w:numPr>
          <w:ilvl w:val="0"/>
          <w:numId w:val="2"/>
        </w:numPr>
      </w:pPr>
      <w:r>
        <w:rPr>
          <w:rFonts w:ascii="Arial" w:cs="Arial" w:eastAsia="Arial" w:hAnsi="Arial"/>
          <w:sz w:val="24"/>
          <w:szCs w:val="24"/>
        </w:rPr>
        <w:t xml:space="preserve">Quality assessment metrics for all samples including read depth and mapping statistics</w:t>
      </w:r>
    </w:p>
    <w:p>
      <w:pPr>
        <w:pStyle w:val="ListParagraph"/>
        <w:numPr>
          <w:ilvl w:val="0"/>
          <w:numId w:val="2"/>
        </w:numPr>
      </w:pPr>
      <w:r>
        <w:rPr>
          <w:rFonts w:ascii="Arial" w:cs="Arial" w:eastAsia="Arial" w:hAnsi="Arial"/>
          <w:sz w:val="24"/>
          <w:szCs w:val="24"/>
        </w:rPr>
        <w:t xml:space="preserve">Reference gene annotation files compatible with downstream analysis tools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data files in FASTQ, BAM, or expression matrix format (TSV/CSV), accompanied by detailed metadata documentation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Process raw sequencing data through standardized quality control and normalization pipelines to generate comparable DEG matrices for differential expression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RNA-seq reads or count matrices from all 50 DEE gene knockouts</w:t>
      </w:r>
    </w:p>
    <w:p>
      <w:pPr>
        <w:pStyle w:val="ListParagraph"/>
        <w:numPr>
          <w:ilvl w:val="0"/>
          <w:numId w:val="2"/>
        </w:numPr>
      </w:pPr>
      <w:r>
        <w:rPr>
          <w:rFonts w:ascii="Arial" w:cs="Arial" w:eastAsia="Arial" w:hAnsi="Arial"/>
          <w:sz w:val="24"/>
          <w:szCs w:val="24"/>
        </w:rPr>
        <w:t xml:space="preserve">Sample metadata and experimental design information</w:t>
      </w:r>
    </w:p>
    <w:p>
      <w:pPr>
        <w:pStyle w:val="ListParagraph"/>
        <w:numPr>
          <w:ilvl w:val="0"/>
          <w:numId w:val="2"/>
        </w:numPr>
      </w:pPr>
      <w:r>
        <w:rPr>
          <w:rFonts w:ascii="Arial" w:cs="Arial" w:eastAsia="Arial" w:hAnsi="Arial"/>
          <w:sz w:val="24"/>
          <w:szCs w:val="24"/>
        </w:rPr>
        <w:t xml:space="preserve">Quality control thresholds and filtering criteria</w:t>
      </w:r>
    </w:p>
    <w:p>
      <w:pPr>
        <w:pStyle w:val="ListParagraph"/>
        <w:numPr>
          <w:ilvl w:val="0"/>
          <w:numId w:val="2"/>
        </w:numPr>
      </w:pPr>
      <w:r>
        <w:rPr>
          <w:rFonts w:ascii="Arial" w:cs="Arial" w:eastAsia="Arial" w:hAnsi="Arial"/>
          <w:sz w:val="24"/>
          <w:szCs w:val="24"/>
        </w:rPr>
        <w:t xml:space="preserve">Gene annotation and feature mapping files</w:t>
      </w:r>
    </w:p>
    <w:p>
      <w:pPr>
        <w:pStyle w:val="ListParagraph"/>
        <w:numPr>
          <w:ilvl w:val="0"/>
          <w:numId w:val="2"/>
        </w:numPr>
      </w:pPr>
      <w:r>
        <w:rPr>
          <w:rFonts w:ascii="Arial" w:cs="Arial" w:eastAsia="Arial" w:hAnsi="Arial"/>
          <w:sz w:val="24"/>
          <w:szCs w:val="24"/>
        </w:rPr>
        <w:t xml:space="preserve">Normalization method specifications and reference genome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FastQC or RSeQC for RNA-seq quality assessment</w:t>
      </w:r>
    </w:p>
    <w:p>
      <w:pPr>
        <w:pStyle w:val="ListParagraph"/>
        <w:numPr>
          <w:ilvl w:val="0"/>
          <w:numId w:val="2"/>
        </w:numPr>
      </w:pPr>
      <w:r>
        <w:rPr>
          <w:rFonts w:ascii="Arial" w:cs="Arial" w:eastAsia="Arial" w:hAnsi="Arial"/>
          <w:sz w:val="24"/>
          <w:szCs w:val="24"/>
        </w:rPr>
        <w:t xml:space="preserve">HISAT2 or STAR for read alignment to reference genome</w:t>
      </w:r>
    </w:p>
    <w:p>
      <w:pPr>
        <w:pStyle w:val="ListParagraph"/>
        <w:numPr>
          <w:ilvl w:val="0"/>
          <w:numId w:val="2"/>
        </w:numPr>
      </w:pPr>
      <w:r>
        <w:rPr>
          <w:rFonts w:ascii="Arial" w:cs="Arial" w:eastAsia="Arial" w:hAnsi="Arial"/>
          <w:sz w:val="24"/>
          <w:szCs w:val="24"/>
        </w:rPr>
        <w:t xml:space="preserve">featureCounts or HTSeq for read counting and quantification</w:t>
      </w:r>
    </w:p>
    <w:p>
      <w:pPr>
        <w:pStyle w:val="ListParagraph"/>
        <w:numPr>
          <w:ilvl w:val="0"/>
          <w:numId w:val="2"/>
        </w:numPr>
      </w:pPr>
      <w:r>
        <w:rPr>
          <w:rFonts w:ascii="Arial" w:cs="Arial" w:eastAsia="Arial" w:hAnsi="Arial"/>
          <w:sz w:val="24"/>
          <w:szCs w:val="24"/>
        </w:rPr>
        <w:t xml:space="preserve">DESeq2 or edgeR for normalization and dispersion estimation</w:t>
      </w:r>
    </w:p>
    <w:p>
      <w:pPr>
        <w:pStyle w:val="ListParagraph"/>
        <w:numPr>
          <w:ilvl w:val="0"/>
          <w:numId w:val="2"/>
        </w:numPr>
      </w:pPr>
      <w:r>
        <w:rPr>
          <w:rFonts w:ascii="Arial" w:cs="Arial" w:eastAsia="Arial" w:hAnsi="Arial"/>
          <w:sz w:val="24"/>
          <w:szCs w:val="24"/>
        </w:rPr>
        <w:t xml:space="preserve">MultiQC for aggregated quality control reporting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read quality control and filter low-quality sequences from raw RNA-seq data</w:t>
      </w:r>
    </w:p>
    <w:p>
      <w:pPr>
        <w:pStyle w:val="ListParagraph"/>
        <w:numPr>
          <w:ilvl w:val="0"/>
          <w:numId w:val="2"/>
        </w:numPr>
      </w:pPr>
      <w:r>
        <w:rPr>
          <w:rFonts w:ascii="Arial" w:cs="Arial" w:eastAsia="Arial" w:hAnsi="Arial"/>
          <w:i/>
          <w:iCs/>
          <w:sz w:val="24"/>
          <w:szCs w:val="24"/>
        </w:rPr>
        <w:t xml:space="preserve">Align reads to reference genome and quantify transcript abundance across all samples</w:t>
      </w:r>
    </w:p>
    <w:p>
      <w:pPr>
        <w:pStyle w:val="ListParagraph"/>
        <w:numPr>
          <w:ilvl w:val="0"/>
          <w:numId w:val="2"/>
        </w:numPr>
      </w:pPr>
      <w:r>
        <w:rPr>
          <w:rFonts w:ascii="Arial" w:cs="Arial" w:eastAsia="Arial" w:hAnsi="Arial"/>
          <w:i/>
          <w:iCs/>
          <w:sz w:val="24"/>
          <w:szCs w:val="24"/>
        </w:rPr>
        <w:t xml:space="preserve">Apply batch correction and normalization to account for technical variation between samples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Normalized expression matrices (counts, TPM, or RPKM format) for all samples and genes</w:t>
      </w:r>
    </w:p>
    <w:p>
      <w:pPr>
        <w:pStyle w:val="ListParagraph"/>
        <w:numPr>
          <w:ilvl w:val="0"/>
          <w:numId w:val="2"/>
        </w:numPr>
      </w:pPr>
      <w:r>
        <w:rPr>
          <w:rFonts w:ascii="Arial" w:cs="Arial" w:eastAsia="Arial" w:hAnsi="Arial"/>
          <w:sz w:val="24"/>
          <w:szCs w:val="24"/>
        </w:rPr>
        <w:t xml:space="preserve">Quality control reports including FastQC metrics and alignment statistics</w:t>
      </w:r>
    </w:p>
    <w:p>
      <w:pPr>
        <w:pStyle w:val="ListParagraph"/>
        <w:numPr>
          <w:ilvl w:val="0"/>
          <w:numId w:val="2"/>
        </w:numPr>
      </w:pPr>
      <w:r>
        <w:rPr>
          <w:rFonts w:ascii="Arial" w:cs="Arial" w:eastAsia="Arial" w:hAnsi="Arial"/>
          <w:sz w:val="24"/>
          <w:szCs w:val="24"/>
        </w:rPr>
        <w:t xml:space="preserve">Corrected count matrices with batch effects removed</w:t>
      </w:r>
    </w:p>
    <w:p>
      <w:pPr>
        <w:pStyle w:val="ListParagraph"/>
        <w:numPr>
          <w:ilvl w:val="0"/>
          <w:numId w:val="2"/>
        </w:numPr>
      </w:pPr>
      <w:r>
        <w:rPr>
          <w:rFonts w:ascii="Arial" w:cs="Arial" w:eastAsia="Arial" w:hAnsi="Arial"/>
          <w:sz w:val="24"/>
          <w:szCs w:val="24"/>
        </w:rPr>
        <w:t xml:space="preserve">Sample clustering dendrograms showing data relationships</w:t>
      </w:r>
    </w:p>
    <w:p>
      <w:pPr>
        <w:pStyle w:val="ListParagraph"/>
        <w:numPr>
          <w:ilvl w:val="0"/>
          <w:numId w:val="2"/>
        </w:numPr>
      </w:pPr>
      <w:r>
        <w:rPr>
          <w:rFonts w:ascii="Arial" w:cs="Arial" w:eastAsia="Arial" w:hAnsi="Arial"/>
          <w:sz w:val="24"/>
          <w:szCs w:val="24"/>
        </w:rPr>
        <w:t xml:space="preserve">Quantitative metrics for sample quality and RNA integrity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TSV/CSV expression matrices, quality control plots (PDF/PNG), and standardized format QC reports compatible with DEG analysis software</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Conduct differential gene expression analysis comparing each DEE gene knockout to wild-type controls, identifying up- and downregulated genes with statistical significance.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expression matrices for all 50 DEE knockout samples and controls</w:t>
      </w:r>
    </w:p>
    <w:p>
      <w:pPr>
        <w:pStyle w:val="ListParagraph"/>
        <w:numPr>
          <w:ilvl w:val="0"/>
          <w:numId w:val="2"/>
        </w:numPr>
      </w:pPr>
      <w:r>
        <w:rPr>
          <w:rFonts w:ascii="Arial" w:cs="Arial" w:eastAsia="Arial" w:hAnsi="Arial"/>
          <w:sz w:val="24"/>
          <w:szCs w:val="24"/>
        </w:rPr>
        <w:t xml:space="preserve">Experimental design metadata specifying knockouts and control groups</w:t>
      </w:r>
    </w:p>
    <w:p>
      <w:pPr>
        <w:pStyle w:val="ListParagraph"/>
        <w:numPr>
          <w:ilvl w:val="0"/>
          <w:numId w:val="2"/>
        </w:numPr>
      </w:pPr>
      <w:r>
        <w:rPr>
          <w:rFonts w:ascii="Arial" w:cs="Arial" w:eastAsia="Arial" w:hAnsi="Arial"/>
          <w:sz w:val="24"/>
          <w:szCs w:val="24"/>
        </w:rPr>
        <w:t xml:space="preserve">Statistical significance thresholds (p-value and fold-change cutoffs)</w:t>
      </w:r>
    </w:p>
    <w:p>
      <w:pPr>
        <w:pStyle w:val="ListParagraph"/>
        <w:numPr>
          <w:ilvl w:val="0"/>
          <w:numId w:val="2"/>
        </w:numPr>
      </w:pPr>
      <w:r>
        <w:rPr>
          <w:rFonts w:ascii="Arial" w:cs="Arial" w:eastAsia="Arial" w:hAnsi="Arial"/>
          <w:sz w:val="24"/>
          <w:szCs w:val="24"/>
        </w:rPr>
        <w:t xml:space="preserve">Gene annotation and pathway information</w:t>
      </w:r>
    </w:p>
    <w:p>
      <w:pPr>
        <w:pStyle w:val="ListParagraph"/>
        <w:numPr>
          <w:ilvl w:val="0"/>
          <w:numId w:val="2"/>
        </w:numPr>
      </w:pPr>
      <w:r>
        <w:rPr>
          <w:rFonts w:ascii="Arial" w:cs="Arial" w:eastAsia="Arial" w:hAnsi="Arial"/>
          <w:sz w:val="24"/>
          <w:szCs w:val="24"/>
        </w:rPr>
        <w:t xml:space="preserve">Covariate information for confounding variable adjustment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DESeq2 for negative binomial differential expression testing</w:t>
      </w:r>
    </w:p>
    <w:p>
      <w:pPr>
        <w:pStyle w:val="ListParagraph"/>
        <w:numPr>
          <w:ilvl w:val="0"/>
          <w:numId w:val="2"/>
        </w:numPr>
      </w:pPr>
      <w:r>
        <w:rPr>
          <w:rFonts w:ascii="Arial" w:cs="Arial" w:eastAsia="Arial" w:hAnsi="Arial"/>
          <w:sz w:val="24"/>
          <w:szCs w:val="24"/>
        </w:rPr>
        <w:t xml:space="preserve">edgeR for generalized linear model-based DEG analysis</w:t>
      </w:r>
    </w:p>
    <w:p>
      <w:pPr>
        <w:pStyle w:val="ListParagraph"/>
        <w:numPr>
          <w:ilvl w:val="0"/>
          <w:numId w:val="2"/>
        </w:numPr>
      </w:pPr>
      <w:r>
        <w:rPr>
          <w:rFonts w:ascii="Arial" w:cs="Arial" w:eastAsia="Arial" w:hAnsi="Arial"/>
          <w:sz w:val="24"/>
          <w:szCs w:val="24"/>
        </w:rPr>
        <w:t xml:space="preserve">limma-voom for precision-weighted differential expression</w:t>
      </w:r>
    </w:p>
    <w:p>
      <w:pPr>
        <w:pStyle w:val="ListParagraph"/>
        <w:numPr>
          <w:ilvl w:val="0"/>
          <w:numId w:val="2"/>
        </w:numPr>
      </w:pPr>
      <w:r>
        <w:rPr>
          <w:rFonts w:ascii="Arial" w:cs="Arial" w:eastAsia="Arial" w:hAnsi="Arial"/>
          <w:sz w:val="24"/>
          <w:szCs w:val="24"/>
        </w:rPr>
        <w:t xml:space="preserve">Benjamini-Hochberg for multiple testing correction</w:t>
      </w:r>
    </w:p>
    <w:p>
      <w:pPr>
        <w:pStyle w:val="ListParagraph"/>
        <w:numPr>
          <w:ilvl w:val="0"/>
          <w:numId w:val="2"/>
        </w:numPr>
      </w:pPr>
      <w:r>
        <w:rPr>
          <w:rFonts w:ascii="Arial" w:cs="Arial" w:eastAsia="Arial" w:hAnsi="Arial"/>
          <w:sz w:val="24"/>
          <w:szCs w:val="24"/>
        </w:rPr>
        <w:t xml:space="preserve">Custom R/Python scripts for DEG filtering and integration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pairwise differential expression analysis comparing each DEE knockout to wild-type control samples</w:t>
      </w:r>
    </w:p>
    <w:p>
      <w:pPr>
        <w:pStyle w:val="ListParagraph"/>
        <w:numPr>
          <w:ilvl w:val="0"/>
          <w:numId w:val="2"/>
        </w:numPr>
      </w:pPr>
      <w:r>
        <w:rPr>
          <w:rFonts w:ascii="Arial" w:cs="Arial" w:eastAsia="Arial" w:hAnsi="Arial"/>
          <w:i/>
          <w:iCs/>
          <w:sz w:val="24"/>
          <w:szCs w:val="24"/>
        </w:rPr>
        <w:t xml:space="preserve">Apply stringent multiple testing correction and filter DEGs based on p-value and fold-change thresholds</w:t>
      </w:r>
    </w:p>
    <w:p>
      <w:pPr>
        <w:pStyle w:val="ListParagraph"/>
        <w:numPr>
          <w:ilvl w:val="0"/>
          <w:numId w:val="2"/>
        </w:numPr>
      </w:pPr>
      <w:r>
        <w:rPr>
          <w:rFonts w:ascii="Arial" w:cs="Arial" w:eastAsia="Arial" w:hAnsi="Arial"/>
          <w:i/>
          <w:iCs/>
          <w:sz w:val="24"/>
          <w:szCs w:val="24"/>
        </w:rPr>
        <w:t xml:space="preserve">Generate comprehensive DEG result tables ranked by statistical significance and effect size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Differential gene expression result tables for all 50 DEE gene comparisons</w:t>
      </w:r>
    </w:p>
    <w:p>
      <w:pPr>
        <w:pStyle w:val="ListParagraph"/>
        <w:numPr>
          <w:ilvl w:val="0"/>
          <w:numId w:val="2"/>
        </w:numPr>
      </w:pPr>
      <w:r>
        <w:rPr>
          <w:rFonts w:ascii="Arial" w:cs="Arial" w:eastAsia="Arial" w:hAnsi="Arial"/>
          <w:sz w:val="24"/>
          <w:szCs w:val="24"/>
        </w:rPr>
        <w:t xml:space="preserve">Volcano plots visualizing log fold-change versus statistical significance</w:t>
      </w:r>
    </w:p>
    <w:p>
      <w:pPr>
        <w:pStyle w:val="ListParagraph"/>
        <w:numPr>
          <w:ilvl w:val="0"/>
          <w:numId w:val="2"/>
        </w:numPr>
      </w:pPr>
      <w:r>
        <w:rPr>
          <w:rFonts w:ascii="Arial" w:cs="Arial" w:eastAsia="Arial" w:hAnsi="Arial"/>
          <w:sz w:val="24"/>
          <w:szCs w:val="24"/>
        </w:rPr>
        <w:t xml:space="preserve">Heat maps showing clustered expression patterns for significant DEGs</w:t>
      </w:r>
    </w:p>
    <w:p>
      <w:pPr>
        <w:pStyle w:val="ListParagraph"/>
        <w:numPr>
          <w:ilvl w:val="0"/>
          <w:numId w:val="2"/>
        </w:numPr>
      </w:pPr>
      <w:r>
        <w:rPr>
          <w:rFonts w:ascii="Arial" w:cs="Arial" w:eastAsia="Arial" w:hAnsi="Arial"/>
          <w:sz w:val="24"/>
          <w:szCs w:val="24"/>
        </w:rPr>
        <w:t xml:space="preserve">Ranked gene lists sorted by fold-change and adjusted p-value</w:t>
      </w:r>
    </w:p>
    <w:p>
      <w:pPr>
        <w:pStyle w:val="ListParagraph"/>
        <w:numPr>
          <w:ilvl w:val="0"/>
          <w:numId w:val="2"/>
        </w:numPr>
      </w:pPr>
      <w:r>
        <w:rPr>
          <w:rFonts w:ascii="Arial" w:cs="Arial" w:eastAsia="Arial" w:hAnsi="Arial"/>
          <w:sz w:val="24"/>
          <w:szCs w:val="24"/>
        </w:rPr>
        <w:t xml:space="preserve">Statistical summary tables with DEG counts and direction (up vs. downregulation)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TSV result tables with columns for gene ID, log2 fold-change, p-value, adjusted p-value, and annotation; accompanying visualization files in PDF/PNG format</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shared DEG signatures across multiple DEE gene perturbations to discover common regulatory mechanisms and convergent transcriptomic responses.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Individual DEG result tables from all 50 DEE gene comparisons</w:t>
      </w:r>
    </w:p>
    <w:p>
      <w:pPr>
        <w:pStyle w:val="ListParagraph"/>
        <w:numPr>
          <w:ilvl w:val="0"/>
          <w:numId w:val="2"/>
        </w:numPr>
      </w:pPr>
      <w:r>
        <w:rPr>
          <w:rFonts w:ascii="Arial" w:cs="Arial" w:eastAsia="Arial" w:hAnsi="Arial"/>
          <w:sz w:val="24"/>
          <w:szCs w:val="24"/>
        </w:rPr>
        <w:t xml:space="preserve">DEG significance thresholds for consensus identification</w:t>
      </w:r>
    </w:p>
    <w:p>
      <w:pPr>
        <w:pStyle w:val="ListParagraph"/>
        <w:numPr>
          <w:ilvl w:val="0"/>
          <w:numId w:val="2"/>
        </w:numPr>
      </w:pPr>
      <w:r>
        <w:rPr>
          <w:rFonts w:ascii="Arial" w:cs="Arial" w:eastAsia="Arial" w:hAnsi="Arial"/>
          <w:sz w:val="24"/>
          <w:szCs w:val="24"/>
        </w:rPr>
        <w:t xml:space="preserve">Gene annotation and pathway databases</w:t>
      </w:r>
    </w:p>
    <w:p>
      <w:pPr>
        <w:pStyle w:val="ListParagraph"/>
        <w:numPr>
          <w:ilvl w:val="0"/>
          <w:numId w:val="2"/>
        </w:numPr>
      </w:pPr>
      <w:r>
        <w:rPr>
          <w:rFonts w:ascii="Arial" w:cs="Arial" w:eastAsia="Arial" w:hAnsi="Arial"/>
          <w:sz w:val="24"/>
          <w:szCs w:val="24"/>
        </w:rPr>
        <w:t xml:space="preserve">Prior knowledge about DEE gene interactions and regulatory networks</w:t>
      </w:r>
    </w:p>
    <w:p>
      <w:pPr>
        <w:pStyle w:val="ListParagraph"/>
        <w:numPr>
          <w:ilvl w:val="0"/>
          <w:numId w:val="2"/>
        </w:numPr>
      </w:pPr>
      <w:r>
        <w:rPr>
          <w:rFonts w:ascii="Arial" w:cs="Arial" w:eastAsia="Arial" w:hAnsi="Arial"/>
          <w:sz w:val="24"/>
          <w:szCs w:val="24"/>
        </w:rPr>
        <w:t xml:space="preserve">Biological ontology and annotation terms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Venn diagram and overlap analysis tools</w:t>
      </w:r>
    </w:p>
    <w:p>
      <w:pPr>
        <w:pStyle w:val="ListParagraph"/>
        <w:numPr>
          <w:ilvl w:val="0"/>
          <w:numId w:val="2"/>
        </w:numPr>
      </w:pPr>
      <w:r>
        <w:rPr>
          <w:rFonts w:ascii="Arial" w:cs="Arial" w:eastAsia="Arial" w:hAnsi="Arial"/>
          <w:sz w:val="24"/>
          <w:szCs w:val="24"/>
        </w:rPr>
        <w:t xml:space="preserve">Gene set enrichment analysis (GSEA) software</w:t>
      </w:r>
    </w:p>
    <w:p>
      <w:pPr>
        <w:pStyle w:val="ListParagraph"/>
        <w:numPr>
          <w:ilvl w:val="0"/>
          <w:numId w:val="2"/>
        </w:numPr>
      </w:pPr>
      <w:r>
        <w:rPr>
          <w:rFonts w:ascii="Arial" w:cs="Arial" w:eastAsia="Arial" w:hAnsi="Arial"/>
          <w:sz w:val="24"/>
          <w:szCs w:val="24"/>
        </w:rPr>
        <w:t xml:space="preserve">Weighted set cover algorithms for consensus DEG identification</w:t>
      </w:r>
    </w:p>
    <w:p>
      <w:pPr>
        <w:pStyle w:val="ListParagraph"/>
        <w:numPr>
          <w:ilvl w:val="0"/>
          <w:numId w:val="2"/>
        </w:numPr>
      </w:pPr>
      <w:r>
        <w:rPr>
          <w:rFonts w:ascii="Arial" w:cs="Arial" w:eastAsia="Arial" w:hAnsi="Arial"/>
          <w:sz w:val="24"/>
          <w:szCs w:val="24"/>
        </w:rPr>
        <w:t xml:space="preserve">Network visualization tools (Cytoscape, igraph)</w:t>
      </w:r>
    </w:p>
    <w:p>
      <w:pPr>
        <w:pStyle w:val="ListParagraph"/>
        <w:numPr>
          <w:ilvl w:val="0"/>
          <w:numId w:val="2"/>
        </w:numPr>
      </w:pPr>
      <w:r>
        <w:rPr>
          <w:rFonts w:ascii="Arial" w:cs="Arial" w:eastAsia="Arial" w:hAnsi="Arial"/>
          <w:sz w:val="24"/>
          <w:szCs w:val="24"/>
        </w:rPr>
        <w:t xml:space="preserve">Functional annotation tools (DAVID, EnrichR, g:Profiler)</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Identify shared upregulated and downregulated genes across multiple DEE gene knockouts</w:t>
      </w:r>
    </w:p>
    <w:p>
      <w:pPr>
        <w:pStyle w:val="ListParagraph"/>
        <w:numPr>
          <w:ilvl w:val="0"/>
          <w:numId w:val="2"/>
        </w:numPr>
      </w:pPr>
      <w:r>
        <w:rPr>
          <w:rFonts w:ascii="Arial" w:cs="Arial" w:eastAsia="Arial" w:hAnsi="Arial"/>
          <w:i/>
          <w:iCs/>
          <w:sz w:val="24"/>
          <w:szCs w:val="24"/>
        </w:rPr>
        <w:t xml:space="preserve">Calculate DEG overlap statistics and determine consensus gene expression signatures</w:t>
      </w:r>
    </w:p>
    <w:p>
      <w:pPr>
        <w:pStyle w:val="ListParagraph"/>
        <w:numPr>
          <w:ilvl w:val="0"/>
          <w:numId w:val="2"/>
        </w:numPr>
      </w:pPr>
      <w:r>
        <w:rPr>
          <w:rFonts w:ascii="Arial" w:cs="Arial" w:eastAsia="Arial" w:hAnsi="Arial"/>
          <w:i/>
          <w:iCs/>
          <w:sz w:val="24"/>
          <w:szCs w:val="24"/>
        </w:rPr>
        <w:t xml:space="preserve">Perform enrichment analysis on shared DEGs to identify affected biological pathways and processes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Consensus upregulated and downregulated gene lists with occurrence frequency across knockouts</w:t>
      </w:r>
    </w:p>
    <w:p>
      <w:pPr>
        <w:pStyle w:val="ListParagraph"/>
        <w:numPr>
          <w:ilvl w:val="0"/>
          <w:numId w:val="2"/>
        </w:numPr>
      </w:pPr>
      <w:r>
        <w:rPr>
          <w:rFonts w:ascii="Arial" w:cs="Arial" w:eastAsia="Arial" w:hAnsi="Arial"/>
          <w:sz w:val="24"/>
          <w:szCs w:val="24"/>
        </w:rPr>
        <w:t xml:space="preserve">Venn diagram and overlap matrix showing DEG sharing patterns</w:t>
      </w:r>
    </w:p>
    <w:p>
      <w:pPr>
        <w:pStyle w:val="ListParagraph"/>
        <w:numPr>
          <w:ilvl w:val="0"/>
          <w:numId w:val="2"/>
        </w:numPr>
      </w:pPr>
      <w:r>
        <w:rPr>
          <w:rFonts w:ascii="Arial" w:cs="Arial" w:eastAsia="Arial" w:hAnsi="Arial"/>
          <w:sz w:val="24"/>
          <w:szCs w:val="24"/>
        </w:rPr>
        <w:t xml:space="preserve">Enriched gene ontology terms and KEGG pathways from shared DEGs</w:t>
      </w:r>
    </w:p>
    <w:p>
      <w:pPr>
        <w:pStyle w:val="ListParagraph"/>
        <w:numPr>
          <w:ilvl w:val="0"/>
          <w:numId w:val="2"/>
        </w:numPr>
      </w:pPr>
      <w:r>
        <w:rPr>
          <w:rFonts w:ascii="Arial" w:cs="Arial" w:eastAsia="Arial" w:hAnsi="Arial"/>
          <w:sz w:val="24"/>
          <w:szCs w:val="24"/>
        </w:rPr>
        <w:t xml:space="preserve">Co-expression network visualization showing relationships between shared genes</w:t>
      </w:r>
    </w:p>
    <w:p>
      <w:pPr>
        <w:pStyle w:val="ListParagraph"/>
        <w:numPr>
          <w:ilvl w:val="0"/>
          <w:numId w:val="2"/>
        </w:numPr>
      </w:pPr>
      <w:r>
        <w:rPr>
          <w:rFonts w:ascii="Arial" w:cs="Arial" w:eastAsia="Arial" w:hAnsi="Arial"/>
          <w:sz w:val="24"/>
          <w:szCs w:val="24"/>
        </w:rPr>
        <w:t xml:space="preserve">Summary table of the most frequently dysregulated genes across DEE perturbations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Consolidated gene lists in CSV/TSV format, enrichment results in tabular format, and network/visualization files in graphML or similar formats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DEG findings through comparison with orthogonal datasets and prior literature, and assess reproducibility of transcriptomic signatures across independent studies.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Identified shared DEG lists and consensus signatures</w:t>
      </w:r>
    </w:p>
    <w:p>
      <w:pPr>
        <w:pStyle w:val="ListParagraph"/>
        <w:numPr>
          <w:ilvl w:val="0"/>
          <w:numId w:val="2"/>
        </w:numPr>
      </w:pPr>
      <w:r>
        <w:rPr>
          <w:rFonts w:ascii="Arial" w:cs="Arial" w:eastAsia="Arial" w:hAnsi="Arial"/>
          <w:sz w:val="24"/>
          <w:szCs w:val="24"/>
        </w:rPr>
        <w:t xml:space="preserve">Independent RNA-seq validation datasets</w:t>
      </w:r>
    </w:p>
    <w:p>
      <w:pPr>
        <w:pStyle w:val="ListParagraph"/>
        <w:numPr>
          <w:ilvl w:val="0"/>
          <w:numId w:val="2"/>
        </w:numPr>
      </w:pPr>
      <w:r>
        <w:rPr>
          <w:rFonts w:ascii="Arial" w:cs="Arial" w:eastAsia="Arial" w:hAnsi="Arial"/>
          <w:sz w:val="24"/>
          <w:szCs w:val="24"/>
        </w:rPr>
        <w:t xml:space="preserve">Published literature describing DEE gene function</w:t>
      </w:r>
    </w:p>
    <w:p>
      <w:pPr>
        <w:pStyle w:val="ListParagraph"/>
        <w:numPr>
          <w:ilvl w:val="0"/>
          <w:numId w:val="2"/>
        </w:numPr>
      </w:pPr>
      <w:r>
        <w:rPr>
          <w:rFonts w:ascii="Arial" w:cs="Arial" w:eastAsia="Arial" w:hAnsi="Arial"/>
          <w:sz w:val="24"/>
          <w:szCs w:val="24"/>
        </w:rPr>
        <w:t xml:space="preserve">Clinical database of DEE patient transcriptomic data</w:t>
      </w:r>
    </w:p>
    <w:p>
      <w:pPr>
        <w:pStyle w:val="ListParagraph"/>
        <w:numPr>
          <w:ilvl w:val="0"/>
          <w:numId w:val="2"/>
        </w:numPr>
      </w:pPr>
      <w:r>
        <w:rPr>
          <w:rFonts w:ascii="Arial" w:cs="Arial" w:eastAsia="Arial" w:hAnsi="Arial"/>
          <w:sz w:val="24"/>
          <w:szCs w:val="24"/>
        </w:rPr>
        <w:t xml:space="preserve">External neuronal differentiation and excitability datasets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Cross-dataset DEG correlation analysis tools</w:t>
      </w:r>
    </w:p>
    <w:p>
      <w:pPr>
        <w:pStyle w:val="ListParagraph"/>
        <w:numPr>
          <w:ilvl w:val="0"/>
          <w:numId w:val="2"/>
        </w:numPr>
      </w:pPr>
      <w:r>
        <w:rPr>
          <w:rFonts w:ascii="Arial" w:cs="Arial" w:eastAsia="Arial" w:hAnsi="Arial"/>
          <w:sz w:val="24"/>
          <w:szCs w:val="24"/>
        </w:rPr>
        <w:t xml:space="preserve">Reproducibility testing and effect size comparison methods</w:t>
      </w:r>
    </w:p>
    <w:p>
      <w:pPr>
        <w:pStyle w:val="ListParagraph"/>
        <w:numPr>
          <w:ilvl w:val="0"/>
          <w:numId w:val="2"/>
        </w:numPr>
      </w:pPr>
      <w:r>
        <w:rPr>
          <w:rFonts w:ascii="Arial" w:cs="Arial" w:eastAsia="Arial" w:hAnsi="Arial"/>
          <w:sz w:val="24"/>
          <w:szCs w:val="24"/>
        </w:rPr>
        <w:t xml:space="preserve">Literature mining and database cross-referencing tools</w:t>
      </w:r>
    </w:p>
    <w:p>
      <w:pPr>
        <w:pStyle w:val="ListParagraph"/>
        <w:numPr>
          <w:ilvl w:val="0"/>
          <w:numId w:val="2"/>
        </w:numPr>
      </w:pPr>
      <w:r>
        <w:rPr>
          <w:rFonts w:ascii="Arial" w:cs="Arial" w:eastAsia="Arial" w:hAnsi="Arial"/>
          <w:sz w:val="24"/>
          <w:szCs w:val="24"/>
        </w:rPr>
        <w:t xml:space="preserve">Single-cell RNA-seq analysis tools for cell-type specificity</w:t>
      </w:r>
    </w:p>
    <w:p>
      <w:pPr>
        <w:pStyle w:val="ListParagraph"/>
        <w:numPr>
          <w:ilvl w:val="0"/>
          <w:numId w:val="2"/>
        </w:numPr>
      </w:pPr>
      <w:r>
        <w:rPr>
          <w:rFonts w:ascii="Arial" w:cs="Arial" w:eastAsia="Arial" w:hAnsi="Arial"/>
          <w:sz w:val="24"/>
          <w:szCs w:val="24"/>
        </w:rPr>
        <w:t xml:space="preserve">Pathway database integration tools (Reactome, BioCarta, KEGG)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Cross-validate identified shared DEGs against independent neuronal RNA-seq datasets</w:t>
      </w:r>
    </w:p>
    <w:p>
      <w:pPr>
        <w:pStyle w:val="ListParagraph"/>
        <w:numPr>
          <w:ilvl w:val="0"/>
          <w:numId w:val="2"/>
        </w:numPr>
      </w:pPr>
      <w:r>
        <w:rPr>
          <w:rFonts w:ascii="Arial" w:cs="Arial" w:eastAsia="Arial" w:hAnsi="Arial"/>
          <w:i/>
          <w:iCs/>
          <w:sz w:val="24"/>
          <w:szCs w:val="24"/>
        </w:rPr>
        <w:t xml:space="preserve">Compare DEG signatures with published literature describing individual DEE gene functions</w:t>
      </w:r>
    </w:p>
    <w:p>
      <w:pPr>
        <w:pStyle w:val="ListParagraph"/>
        <w:numPr>
          <w:ilvl w:val="0"/>
          <w:numId w:val="2"/>
        </w:numPr>
      </w:pPr>
      <w:r>
        <w:rPr>
          <w:rFonts w:ascii="Arial" w:cs="Arial" w:eastAsia="Arial" w:hAnsi="Arial"/>
          <w:i/>
          <w:iCs/>
          <w:sz w:val="24"/>
          <w:szCs w:val="24"/>
        </w:rPr>
        <w:t xml:space="preserve">Assess reproducibility and consistency of dysregulation patterns across validation datasets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Validation report comparing shared DEGs to independent datasets with correlation metrics</w:t>
      </w:r>
    </w:p>
    <w:p>
      <w:pPr>
        <w:pStyle w:val="ListParagraph"/>
        <w:numPr>
          <w:ilvl w:val="0"/>
          <w:numId w:val="2"/>
        </w:numPr>
      </w:pPr>
      <w:r>
        <w:rPr>
          <w:rFonts w:ascii="Arial" w:cs="Arial" w:eastAsia="Arial" w:hAnsi="Arial"/>
          <w:sz w:val="24"/>
          <w:szCs w:val="24"/>
        </w:rPr>
        <w:t xml:space="preserve">Literature cross-reference table associating shared DEGs with known DEE mechanisms</w:t>
      </w:r>
    </w:p>
    <w:p>
      <w:pPr>
        <w:pStyle w:val="ListParagraph"/>
        <w:numPr>
          <w:ilvl w:val="0"/>
          <w:numId w:val="2"/>
        </w:numPr>
      </w:pPr>
      <w:r>
        <w:rPr>
          <w:rFonts w:ascii="Arial" w:cs="Arial" w:eastAsia="Arial" w:hAnsi="Arial"/>
          <w:sz w:val="24"/>
          <w:szCs w:val="24"/>
        </w:rPr>
        <w:t xml:space="preserve">Reproducibility assessment including effect size comparisons and concordance statistics</w:t>
      </w:r>
    </w:p>
    <w:p>
      <w:pPr>
        <w:pStyle w:val="ListParagraph"/>
        <w:numPr>
          <w:ilvl w:val="0"/>
          <w:numId w:val="2"/>
        </w:numPr>
      </w:pPr>
      <w:r>
        <w:rPr>
          <w:rFonts w:ascii="Arial" w:cs="Arial" w:eastAsia="Arial" w:hAnsi="Arial"/>
          <w:sz w:val="24"/>
          <w:szCs w:val="24"/>
        </w:rPr>
        <w:t xml:space="preserve">Cell-type and tissue-specific expression patterns for validated DEGs</w:t>
      </w:r>
    </w:p>
    <w:p>
      <w:pPr>
        <w:pStyle w:val="ListParagraph"/>
        <w:numPr>
          <w:ilvl w:val="0"/>
          <w:numId w:val="2"/>
        </w:numPr>
      </w:pPr>
      <w:r>
        <w:rPr>
          <w:rFonts w:ascii="Arial" w:cs="Arial" w:eastAsia="Arial" w:hAnsi="Arial"/>
          <w:sz w:val="24"/>
          <w:szCs w:val="24"/>
        </w:rPr>
        <w:t xml:space="preserve">Integration summary describing convergence of transcriptomic signatures across studies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PDF validation report with embedded tables and figures, supplementary Excel spreadsheet with detailed cross-reference information</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results documentation including standardized output files, summary statistics, and quality metrics for archival and downstream integration.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DEG result files and consensus gene lists</w:t>
      </w:r>
    </w:p>
    <w:p>
      <w:pPr>
        <w:pStyle w:val="ListParagraph"/>
        <w:numPr>
          <w:ilvl w:val="0"/>
          <w:numId w:val="2"/>
        </w:numPr>
      </w:pPr>
      <w:r>
        <w:rPr>
          <w:rFonts w:ascii="Arial" w:cs="Arial" w:eastAsia="Arial" w:hAnsi="Arial"/>
          <w:sz w:val="24"/>
          <w:szCs w:val="24"/>
        </w:rPr>
        <w:t xml:space="preserve">Validation findings and reproducibility assessments</w:t>
      </w:r>
    </w:p>
    <w:p>
      <w:pPr>
        <w:pStyle w:val="ListParagraph"/>
        <w:numPr>
          <w:ilvl w:val="0"/>
          <w:numId w:val="2"/>
        </w:numPr>
      </w:pPr>
      <w:r>
        <w:rPr>
          <w:rFonts w:ascii="Arial" w:cs="Arial" w:eastAsia="Arial" w:hAnsi="Arial"/>
          <w:sz w:val="24"/>
          <w:szCs w:val="24"/>
        </w:rPr>
        <w:t xml:space="preserve">Quality control metrics from preprocessing stages</w:t>
      </w:r>
    </w:p>
    <w:p>
      <w:pPr>
        <w:pStyle w:val="ListParagraph"/>
        <w:numPr>
          <w:ilvl w:val="0"/>
          <w:numId w:val="2"/>
        </w:numPr>
      </w:pPr>
      <w:r>
        <w:rPr>
          <w:rFonts w:ascii="Arial" w:cs="Arial" w:eastAsia="Arial" w:hAnsi="Arial"/>
          <w:sz w:val="24"/>
          <w:szCs w:val="24"/>
        </w:rPr>
        <w:t xml:space="preserve">Enrichment analysis results and pathway annotations</w:t>
      </w:r>
    </w:p>
    <w:p>
      <w:pPr>
        <w:pStyle w:val="ListParagraph"/>
        <w:numPr>
          <w:ilvl w:val="0"/>
          <w:numId w:val="2"/>
        </w:numPr>
      </w:pPr>
      <w:r>
        <w:rPr>
          <w:rFonts w:ascii="Arial" w:cs="Arial" w:eastAsia="Arial" w:hAnsi="Arial"/>
          <w:sz w:val="24"/>
          <w:szCs w:val="24"/>
        </w:rPr>
        <w:t xml:space="preserve">Metadata describing analysis methods and parameters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Document assembly and templating tools</w:t>
      </w:r>
    </w:p>
    <w:p>
      <w:pPr>
        <w:pStyle w:val="ListParagraph"/>
        <w:numPr>
          <w:ilvl w:val="0"/>
          <w:numId w:val="2"/>
        </w:numPr>
      </w:pPr>
      <w:r>
        <w:rPr>
          <w:rFonts w:ascii="Arial" w:cs="Arial" w:eastAsia="Arial" w:hAnsi="Arial"/>
          <w:sz w:val="24"/>
          <w:szCs w:val="24"/>
        </w:rPr>
        <w:t xml:space="preserve">Standardized file format converters (BED, GTF, SAF)</w:t>
      </w:r>
    </w:p>
    <w:p>
      <w:pPr>
        <w:pStyle w:val="ListParagraph"/>
        <w:numPr>
          <w:ilvl w:val="0"/>
          <w:numId w:val="2"/>
        </w:numPr>
      </w:pPr>
      <w:r>
        <w:rPr>
          <w:rFonts w:ascii="Arial" w:cs="Arial" w:eastAsia="Arial" w:hAnsi="Arial"/>
          <w:sz w:val="24"/>
          <w:szCs w:val="24"/>
        </w:rPr>
        <w:t xml:space="preserve">Metadata XML/JSON schema validators</w:t>
      </w:r>
    </w:p>
    <w:p>
      <w:pPr>
        <w:pStyle w:val="ListParagraph"/>
        <w:numPr>
          <w:ilvl w:val="0"/>
          <w:numId w:val="2"/>
        </w:numPr>
      </w:pPr>
      <w:r>
        <w:rPr>
          <w:rFonts w:ascii="Arial" w:cs="Arial" w:eastAsia="Arial" w:hAnsi="Arial"/>
          <w:sz w:val="24"/>
          <w:szCs w:val="24"/>
        </w:rPr>
        <w:t xml:space="preserve">Archive and compression utilities</w:t>
      </w:r>
    </w:p>
    <w:p>
      <w:pPr>
        <w:pStyle w:val="ListParagraph"/>
        <w:numPr>
          <w:ilvl w:val="0"/>
          <w:numId w:val="2"/>
        </w:numPr>
      </w:pPr>
      <w:r>
        <w:rPr>
          <w:rFonts w:ascii="Arial" w:cs="Arial" w:eastAsia="Arial" w:hAnsi="Arial"/>
          <w:sz w:val="24"/>
          <w:szCs w:val="24"/>
        </w:rPr>
        <w:t xml:space="preserve">Data quality certification and provenance tracking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Compile all individual and consensus DEG files into standardized archive formats</w:t>
      </w:r>
    </w:p>
    <w:p>
      <w:pPr>
        <w:pStyle w:val="ListParagraph"/>
        <w:numPr>
          <w:ilvl w:val="0"/>
          <w:numId w:val="2"/>
        </w:numPr>
      </w:pPr>
      <w:r>
        <w:rPr>
          <w:rFonts w:ascii="Arial" w:cs="Arial" w:eastAsia="Arial" w:hAnsi="Arial"/>
          <w:i/>
          <w:iCs/>
          <w:sz w:val="24"/>
          <w:szCs w:val="24"/>
        </w:rPr>
        <w:t xml:space="preserve">Generate comprehensive results metadata including analysis parameters, tool versions, and execution dates</w:t>
      </w:r>
    </w:p>
    <w:p>
      <w:pPr>
        <w:pStyle w:val="ListParagraph"/>
        <w:numPr>
          <w:ilvl w:val="0"/>
          <w:numId w:val="2"/>
        </w:numPr>
      </w:pPr>
      <w:r>
        <w:rPr>
          <w:rFonts w:ascii="Arial" w:cs="Arial" w:eastAsia="Arial" w:hAnsi="Arial"/>
          <w:i/>
          <w:iCs/>
          <w:sz w:val="24"/>
          <w:szCs w:val="24"/>
        </w:rPr>
        <w:t xml:space="preserve">Create summary statistics and quality metrics dashboard for results validation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archive containing all DEG result files, gene lists, and associated metadata</w:t>
      </w:r>
    </w:p>
    <w:p>
      <w:pPr>
        <w:pStyle w:val="ListParagraph"/>
        <w:numPr>
          <w:ilvl w:val="0"/>
          <w:numId w:val="2"/>
        </w:numPr>
      </w:pPr>
      <w:r>
        <w:rPr>
          <w:rFonts w:ascii="Arial" w:cs="Arial" w:eastAsia="Arial" w:hAnsi="Arial"/>
          <w:sz w:val="24"/>
          <w:szCs w:val="24"/>
        </w:rPr>
        <w:t xml:space="preserve">Comprehensive results summary document with statistics and key findings</w:t>
      </w:r>
    </w:p>
    <w:p>
      <w:pPr>
        <w:pStyle w:val="ListParagraph"/>
        <w:numPr>
          <w:ilvl w:val="0"/>
          <w:numId w:val="2"/>
        </w:numPr>
      </w:pPr>
      <w:r>
        <w:rPr>
          <w:rFonts w:ascii="Arial" w:cs="Arial" w:eastAsia="Arial" w:hAnsi="Arial"/>
          <w:sz w:val="24"/>
          <w:szCs w:val="24"/>
        </w:rPr>
        <w:t xml:space="preserve">Quality control dashboard and metrics file for results certification</w:t>
      </w:r>
    </w:p>
    <w:p>
      <w:pPr>
        <w:pStyle w:val="ListParagraph"/>
        <w:numPr>
          <w:ilvl w:val="0"/>
          <w:numId w:val="2"/>
        </w:numPr>
      </w:pPr>
      <w:r>
        <w:rPr>
          <w:rFonts w:ascii="Arial" w:cs="Arial" w:eastAsia="Arial" w:hAnsi="Arial"/>
          <w:sz w:val="24"/>
          <w:szCs w:val="24"/>
        </w:rPr>
        <w:t xml:space="preserve">Methods documentation detailing all analysis steps, tool versions, and parameters used</w:t>
      </w:r>
    </w:p>
    <w:p>
      <w:pPr>
        <w:pStyle w:val="ListParagraph"/>
        <w:numPr>
          <w:ilvl w:val="0"/>
          <w:numId w:val="2"/>
        </w:numPr>
      </w:pPr>
      <w:r>
        <w:rPr>
          <w:rFonts w:ascii="Arial" w:cs="Arial" w:eastAsia="Arial" w:hAnsi="Arial"/>
          <w:sz w:val="24"/>
          <w:szCs w:val="24"/>
        </w:rPr>
        <w:t xml:space="preserve">README file and data dictionary describing all output files and their structure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Zipped archive with TSV/CSV data files, PDF documentation, and JSON metadata; all files conform to established bioinformatics standards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GEO (Gene Expression Omnibus) - NCBI's comprehensive repository for functional genomics data</w:t>
      </w:r>
    </w:p>
    <w:p>
      <w:pPr>
        <w:pStyle w:val="ListParagraph"/>
        <w:numPr>
          <w:ilvl w:val="0"/>
          <w:numId w:val="2"/>
        </w:numPr>
      </w:pPr>
      <w:r>
        <w:rPr>
          <w:rFonts w:ascii="Arial" w:cs="Arial" w:eastAsia="Arial" w:hAnsi="Arial"/>
          <w:sz w:val="24"/>
          <w:szCs w:val="24"/>
        </w:rPr>
        <w:t xml:space="preserve">NCBI SRA (Sequence Read Archive) - Primary archive for next-generation sequencing data</w:t>
      </w:r>
    </w:p>
    <w:p>
      <w:pPr>
        <w:pStyle w:val="ListParagraph"/>
        <w:numPr>
          <w:ilvl w:val="0"/>
          <w:numId w:val="2"/>
        </w:numPr>
      </w:pPr>
      <w:r>
        <w:rPr>
          <w:rFonts w:ascii="Arial" w:cs="Arial" w:eastAsia="Arial" w:hAnsi="Arial"/>
          <w:sz w:val="24"/>
          <w:szCs w:val="24"/>
        </w:rPr>
        <w:t xml:space="preserve">Ensembl REST API - Gene annotation and ortholog identification service</w:t>
      </w:r>
    </w:p>
    <w:p>
      <w:pPr>
        <w:pStyle w:val="ListParagraph"/>
        <w:numPr>
          <w:ilvl w:val="0"/>
          <w:numId w:val="2"/>
        </w:numPr>
      </w:pPr>
      <w:r>
        <w:rPr>
          <w:rFonts w:ascii="Arial" w:cs="Arial" w:eastAsia="Arial" w:hAnsi="Arial"/>
          <w:sz w:val="24"/>
          <w:szCs w:val="24"/>
        </w:rPr>
        <w:t xml:space="preserve">FastQC - RNA-seq quality control and read-level quality assessment</w:t>
      </w:r>
    </w:p>
    <w:p>
      <w:pPr>
        <w:pStyle w:val="ListParagraph"/>
        <w:numPr>
          <w:ilvl w:val="0"/>
          <w:numId w:val="2"/>
        </w:numPr>
      </w:pPr>
      <w:r>
        <w:rPr>
          <w:rFonts w:ascii="Arial" w:cs="Arial" w:eastAsia="Arial" w:hAnsi="Arial"/>
          <w:sz w:val="24"/>
          <w:szCs w:val="24"/>
        </w:rPr>
        <w:t xml:space="preserve">HISAT2 - Splicing-aware read aligner for RNA-seq data</w:t>
      </w:r>
    </w:p>
    <w:p>
      <w:pPr>
        <w:pStyle w:val="ListParagraph"/>
        <w:numPr>
          <w:ilvl w:val="0"/>
          <w:numId w:val="2"/>
        </w:numPr>
      </w:pPr>
      <w:r>
        <w:rPr>
          <w:rFonts w:ascii="Arial" w:cs="Arial" w:eastAsia="Arial" w:hAnsi="Arial"/>
          <w:sz w:val="24"/>
          <w:szCs w:val="24"/>
        </w:rPr>
        <w:t xml:space="preserve">STAR - Ultrafast and sensitive RNA-seq read aligner</w:t>
      </w:r>
    </w:p>
    <w:p>
      <w:pPr>
        <w:pStyle w:val="ListParagraph"/>
        <w:numPr>
          <w:ilvl w:val="0"/>
          <w:numId w:val="2"/>
        </w:numPr>
      </w:pPr>
      <w:r>
        <w:rPr>
          <w:rFonts w:ascii="Arial" w:cs="Arial" w:eastAsia="Arial" w:hAnsi="Arial"/>
          <w:sz w:val="24"/>
          <w:szCs w:val="24"/>
        </w:rPr>
        <w:t xml:space="preserve">featureCounts - Rapid and accurate read summarization for genomic features</w:t>
      </w:r>
    </w:p>
    <w:p>
      <w:pPr>
        <w:pStyle w:val="ListParagraph"/>
        <w:numPr>
          <w:ilvl w:val="0"/>
          <w:numId w:val="2"/>
        </w:numPr>
      </w:pPr>
      <w:r>
        <w:rPr>
          <w:rFonts w:ascii="Arial" w:cs="Arial" w:eastAsia="Arial" w:hAnsi="Arial"/>
          <w:sz w:val="24"/>
          <w:szCs w:val="24"/>
        </w:rPr>
        <w:t xml:space="preserve">DESeq2 - Negative binomial modeling for differential expression analysis</w:t>
      </w:r>
    </w:p>
    <w:p>
      <w:pPr>
        <w:pStyle w:val="ListParagraph"/>
        <w:numPr>
          <w:ilvl w:val="0"/>
          <w:numId w:val="2"/>
        </w:numPr>
      </w:pPr>
      <w:r>
        <w:rPr>
          <w:rFonts w:ascii="Arial" w:cs="Arial" w:eastAsia="Arial" w:hAnsi="Arial"/>
          <w:sz w:val="24"/>
          <w:szCs w:val="24"/>
        </w:rPr>
        <w:t xml:space="preserve">edgeR - Exact test and generalized linear model methods for DEG analysis</w:t>
      </w:r>
    </w:p>
    <w:p>
      <w:pPr>
        <w:pStyle w:val="ListParagraph"/>
        <w:numPr>
          <w:ilvl w:val="0"/>
          <w:numId w:val="2"/>
        </w:numPr>
      </w:pPr>
      <w:r>
        <w:rPr>
          <w:rFonts w:ascii="Arial" w:cs="Arial" w:eastAsia="Arial" w:hAnsi="Arial"/>
          <w:sz w:val="24"/>
          <w:szCs w:val="24"/>
        </w:rPr>
        <w:t xml:space="preserve">limma-voom - Precision-weighted differential expression analysis</w:t>
      </w:r>
    </w:p>
    <w:p>
      <w:pPr>
        <w:pStyle w:val="ListParagraph"/>
        <w:numPr>
          <w:ilvl w:val="0"/>
          <w:numId w:val="2"/>
        </w:numPr>
      </w:pPr>
      <w:r>
        <w:rPr>
          <w:rFonts w:ascii="Arial" w:cs="Arial" w:eastAsia="Arial" w:hAnsi="Arial"/>
          <w:sz w:val="24"/>
          <w:szCs w:val="24"/>
        </w:rPr>
        <w:t xml:space="preserve">GSEA (Gene Set Enrichment Analysis) - Pathway enrichment testing</w:t>
      </w:r>
    </w:p>
    <w:p>
      <w:pPr>
        <w:pStyle w:val="ListParagraph"/>
        <w:numPr>
          <w:ilvl w:val="0"/>
          <w:numId w:val="2"/>
        </w:numPr>
      </w:pPr>
      <w:r>
        <w:rPr>
          <w:rFonts w:ascii="Arial" w:cs="Arial" w:eastAsia="Arial" w:hAnsi="Arial"/>
          <w:sz w:val="24"/>
          <w:szCs w:val="24"/>
        </w:rPr>
        <w:t xml:space="preserve">EnrichR - Interactive online tool for functional enrichment analysis</w:t>
      </w:r>
    </w:p>
    <w:p>
      <w:pPr>
        <w:pStyle w:val="ListParagraph"/>
        <w:numPr>
          <w:ilvl w:val="0"/>
          <w:numId w:val="2"/>
        </w:numPr>
      </w:pPr>
      <w:r>
        <w:rPr>
          <w:rFonts w:ascii="Arial" w:cs="Arial" w:eastAsia="Arial" w:hAnsi="Arial"/>
          <w:sz w:val="24"/>
          <w:szCs w:val="24"/>
        </w:rPr>
        <w:t xml:space="preserve">g:Profiler - Multi-omics functional profiling and pathway analysis</w:t>
      </w:r>
    </w:p>
    <w:p>
      <w:pPr>
        <w:pStyle w:val="ListParagraph"/>
        <w:numPr>
          <w:ilvl w:val="0"/>
          <w:numId w:val="2"/>
        </w:numPr>
      </w:pPr>
      <w:r>
        <w:rPr>
          <w:rFonts w:ascii="Arial" w:cs="Arial" w:eastAsia="Arial" w:hAnsi="Arial"/>
          <w:sz w:val="24"/>
          <w:szCs w:val="24"/>
        </w:rPr>
        <w:t xml:space="preserve">Cytoscape - Network visualization and analysis platform</w:t>
      </w:r>
    </w:p>
    <w:p>
      <w:pPr>
        <w:pStyle w:val="ListParagraph"/>
        <w:numPr>
          <w:ilvl w:val="0"/>
          <w:numId w:val="2"/>
        </w:numPr>
      </w:pPr>
      <w:r>
        <w:rPr>
          <w:rFonts w:ascii="Arial" w:cs="Arial" w:eastAsia="Arial" w:hAnsi="Arial"/>
          <w:sz w:val="24"/>
          <w:szCs w:val="24"/>
        </w:rPr>
        <w:t xml:space="preserve">igraph - Network analysis and visualization R package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2026-03-25T18:36:37.466Z</dcterms:created>
  <dcterms:modified xsi:type="dcterms:W3CDTF">2026-03-25T18:36:37.467Z</dcterms:modified>
</cp:coreProperties>
</file>

<file path=docProps/custom.xml><?xml version="1.0" encoding="utf-8"?>
<Properties xmlns="http://schemas.openxmlformats.org/officeDocument/2006/custom-properties" xmlns:vt="http://schemas.openxmlformats.org/officeDocument/2006/docPropsVTypes"/>
</file>