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#034: Connectivity Map and CMap/L1000 Therapeutic Candidate Discovery</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Cross-reference the Angelini RNA-seq DEGs with the Connectivity Map (CMap/L1000) database to identify compounds whose transcriptional signatures are anti-correlated with the disease signatures, suggesting potential therapeutic candidates for each functional cluster.</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Cross-reference Angelini RNA-seq differential expression signatures from 50 DEE gene knockouts with Connectivity Map (CMap/L1000) database to identify compounds with transcriptional signatures anti-correlated with disease signatures, generating therapeutic candidates for each functional cluster.</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CMap signature generation, cross-database correlation analysis, compound ranking, and therapeutic hypothesis development across 50 disease signatures.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Prepare disease signature gene lists from DEE knockout RNA-seq data. Generate ranked gene signatures suitable for CMap query submission. Establish query parameters and conduct database preparation for large-scale compound screening.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Differential expression results for all 50 DEE gene knockouts (ranked by log2 fold-change)</w:t>
      </w:r>
    </w:p>
    <w:p>
      <w:pPr>
        <w:pStyle w:val="ListParagraph"/>
        <w:numPr>
          <w:ilvl w:val="0"/>
          <w:numId w:val="2"/>
        </w:numPr>
      </w:pPr>
      <w:r>
        <w:rPr>
          <w:rFonts w:ascii="Arial" w:cs="Arial" w:eastAsia="Arial" w:hAnsi="Arial"/>
          <w:sz w:val="24"/>
          <w:szCs w:val="24"/>
        </w:rPr>
        <w:t xml:space="preserve">Shared disease signatures within functional clusters</w:t>
      </w:r>
    </w:p>
    <w:p>
      <w:pPr>
        <w:pStyle w:val="ListParagraph"/>
        <w:numPr>
          <w:ilvl w:val="0"/>
          <w:numId w:val="2"/>
        </w:numPr>
      </w:pPr>
      <w:r>
        <w:rPr>
          <w:rFonts w:ascii="Arial" w:cs="Arial" w:eastAsia="Arial" w:hAnsi="Arial"/>
          <w:sz w:val="24"/>
          <w:szCs w:val="24"/>
        </w:rPr>
        <w:t xml:space="preserve">Gene identifier mapping for CMap database compatibility</w:t>
      </w:r>
    </w:p>
    <w:p>
      <w:pPr>
        <w:pStyle w:val="ListParagraph"/>
        <w:numPr>
          <w:ilvl w:val="0"/>
          <w:numId w:val="2"/>
        </w:numPr>
      </w:pPr>
      <w:r>
        <w:rPr>
          <w:rFonts w:ascii="Arial" w:cs="Arial" w:eastAsia="Arial" w:hAnsi="Arial"/>
          <w:sz w:val="24"/>
          <w:szCs w:val="24"/>
        </w:rPr>
        <w:t xml:space="preserve">CMap/L1000 database query specifications and format requirements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Connectivity Map (CMap) database and web interface</w:t>
      </w:r>
    </w:p>
    <w:p>
      <w:pPr>
        <w:pStyle w:val="ListParagraph"/>
        <w:numPr>
          <w:ilvl w:val="0"/>
          <w:numId w:val="2"/>
        </w:numPr>
      </w:pPr>
      <w:r>
        <w:rPr>
          <w:rFonts w:ascii="Arial" w:cs="Arial" w:eastAsia="Arial" w:hAnsi="Arial"/>
          <w:sz w:val="24"/>
          <w:szCs w:val="24"/>
        </w:rPr>
        <w:t xml:space="preserve">CMap query API (CMAP cmapPy Python package) for programmatic access</w:t>
      </w:r>
    </w:p>
    <w:p>
      <w:pPr>
        <w:pStyle w:val="ListParagraph"/>
        <w:numPr>
          <w:ilvl w:val="0"/>
          <w:numId w:val="2"/>
        </w:numPr>
      </w:pPr>
      <w:r>
        <w:rPr>
          <w:rFonts w:ascii="Arial" w:cs="Arial" w:eastAsia="Arial" w:hAnsi="Arial"/>
          <w:sz w:val="24"/>
          <w:szCs w:val="24"/>
        </w:rPr>
        <w:t xml:space="preserve">LINCS L1000 gene expression measurement technology and data access</w:t>
      </w:r>
    </w:p>
    <w:p>
      <w:pPr>
        <w:pStyle w:val="ListParagraph"/>
        <w:numPr>
          <w:ilvl w:val="0"/>
          <w:numId w:val="2"/>
        </w:numPr>
      </w:pPr>
      <w:r>
        <w:rPr>
          <w:rFonts w:ascii="Arial" w:cs="Arial" w:eastAsia="Arial" w:hAnsi="Arial"/>
          <w:sz w:val="24"/>
          <w:szCs w:val="24"/>
        </w:rPr>
        <w:t xml:space="preserve">Gene identifier conversion tools (NCBI Gene, Ensembl, HGNC mapping)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ranked gene expression signatures for the 50 DEE gene knockouts suitable for CMap query submission, including specification of upregulated and downregulated gene lists (log2FC thresholds, p-value filters).</w:t>
      </w:r>
    </w:p>
    <w:p>
      <w:pPr>
        <w:pStyle w:val="ListParagraph"/>
        <w:numPr>
          <w:ilvl w:val="0"/>
          <w:numId w:val="2"/>
        </w:numPr>
      </w:pPr>
      <w:r>
        <w:rPr>
          <w:rFonts w:ascii="Arial" w:cs="Arial" w:eastAsia="Arial" w:hAnsi="Arial"/>
          <w:i/>
          <w:iCs/>
          <w:sz w:val="24"/>
          <w:szCs w:val="24"/>
        </w:rPr>
        <w:t xml:space="preserve">Create consensus disease signatures for each functional cluster by aggregating and ranking genes consistently dysregulated across multiple DEE gene perturbations within that cluster.</w:t>
      </w:r>
    </w:p>
    <w:p>
      <w:pPr>
        <w:pStyle w:val="ListParagraph"/>
        <w:numPr>
          <w:ilvl w:val="0"/>
          <w:numId w:val="2"/>
        </w:numPr>
      </w:pPr>
      <w:r>
        <w:rPr>
          <w:rFonts w:ascii="Arial" w:cs="Arial" w:eastAsia="Arial" w:hAnsi="Arial"/>
          <w:i/>
          <w:iCs/>
          <w:sz w:val="24"/>
          <w:szCs w:val="24"/>
        </w:rPr>
        <w:t xml:space="preserve">Verify gene identifier compatibility between DEE RNA-seq differential expression results and CMap/L1000 gene feature space (conversion of gene symbols to Entrez Gene IDs, verification of coverage).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Ranked disease gene signatures for each of the 50 DEE knockouts (format: gene ID, rank score, direction)</w:t>
      </w:r>
    </w:p>
    <w:p>
      <w:pPr>
        <w:pStyle w:val="ListParagraph"/>
        <w:numPr>
          <w:ilvl w:val="0"/>
          <w:numId w:val="2"/>
        </w:numPr>
      </w:pPr>
      <w:r>
        <w:rPr>
          <w:rFonts w:ascii="Arial" w:cs="Arial" w:eastAsia="Arial" w:hAnsi="Arial"/>
          <w:sz w:val="24"/>
          <w:szCs w:val="24"/>
        </w:rPr>
        <w:t xml:space="preserve">Consensus functional cluster disease signatures (shared dysregulated genes, aggregated ranking)</w:t>
      </w:r>
    </w:p>
    <w:p>
      <w:pPr>
        <w:pStyle w:val="ListParagraph"/>
        <w:numPr>
          <w:ilvl w:val="0"/>
          <w:numId w:val="2"/>
        </w:numPr>
      </w:pPr>
      <w:r>
        <w:rPr>
          <w:rFonts w:ascii="Arial" w:cs="Arial" w:eastAsia="Arial" w:hAnsi="Arial"/>
          <w:sz w:val="24"/>
          <w:szCs w:val="24"/>
        </w:rPr>
        <w:t xml:space="preserve">Gene identifier mapping validation report confirming CMap coverage of DEE disease genes</w:t>
      </w:r>
    </w:p>
    <w:p>
      <w:pPr>
        <w:pStyle w:val="ListParagraph"/>
        <w:numPr>
          <w:ilvl w:val="0"/>
          <w:numId w:val="2"/>
        </w:numPr>
      </w:pPr>
      <w:r>
        <w:rPr>
          <w:rFonts w:ascii="Arial" w:cs="Arial" w:eastAsia="Arial" w:hAnsi="Arial"/>
          <w:sz w:val="24"/>
          <w:szCs w:val="24"/>
        </w:rPr>
        <w:t xml:space="preserve">CMap query submission specifications and parameter documentation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Disease signature files (TSV with gene ID and score columns), cluster signature lists, gene coverage report, and CMap query format specification document</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Query the Connectivity Map (CMap/L1000) database using prepared disease signatures to identify compounds whose transcriptional signatures are anti-correlated with DEE gene knockout signatures. Retrieve top compounds with reversed transcriptional phenotypes.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Ranked disease gene signatures for DEE knockouts in CMap-compatible format</w:t>
      </w:r>
    </w:p>
    <w:p>
      <w:pPr>
        <w:pStyle w:val="ListParagraph"/>
        <w:numPr>
          <w:ilvl w:val="0"/>
          <w:numId w:val="2"/>
        </w:numPr>
      </w:pPr>
      <w:r>
        <w:rPr>
          <w:rFonts w:ascii="Arial" w:cs="Arial" w:eastAsia="Arial" w:hAnsi="Arial"/>
          <w:sz w:val="24"/>
          <w:szCs w:val="24"/>
        </w:rPr>
        <w:t xml:space="preserve">CMap/L1000 database with ~20,000 compounds and conditions tested</w:t>
      </w:r>
    </w:p>
    <w:p>
      <w:pPr>
        <w:pStyle w:val="ListParagraph"/>
        <w:numPr>
          <w:ilvl w:val="0"/>
          <w:numId w:val="2"/>
        </w:numPr>
      </w:pPr>
      <w:r>
        <w:rPr>
          <w:rFonts w:ascii="Arial" w:cs="Arial" w:eastAsia="Arial" w:hAnsi="Arial"/>
          <w:sz w:val="24"/>
          <w:szCs w:val="24"/>
        </w:rPr>
        <w:t xml:space="preserve">Compound filtering parameters (dose, time point, cell type selectivity)</w:t>
      </w:r>
    </w:p>
    <w:p>
      <w:pPr>
        <w:pStyle w:val="ListParagraph"/>
        <w:numPr>
          <w:ilvl w:val="0"/>
          <w:numId w:val="2"/>
        </w:numPr>
      </w:pPr>
      <w:r>
        <w:rPr>
          <w:rFonts w:ascii="Arial" w:cs="Arial" w:eastAsia="Arial" w:hAnsi="Arial"/>
          <w:sz w:val="24"/>
          <w:szCs w:val="24"/>
        </w:rPr>
        <w:t xml:space="preserve">Similarity metric selections (Spearman correlation, cosine similarity, others)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Connectivity Map (CMap) web interface and programmatic API</w:t>
      </w:r>
    </w:p>
    <w:p>
      <w:pPr>
        <w:pStyle w:val="ListParagraph"/>
        <w:numPr>
          <w:ilvl w:val="0"/>
          <w:numId w:val="2"/>
        </w:numPr>
      </w:pPr>
      <w:r>
        <w:rPr>
          <w:rFonts w:ascii="Arial" w:cs="Arial" w:eastAsia="Arial" w:hAnsi="Arial"/>
          <w:sz w:val="24"/>
          <w:szCs w:val="24"/>
        </w:rPr>
        <w:t xml:space="preserve">CMap cmapPy Python package for systematic database queries</w:t>
      </w:r>
    </w:p>
    <w:p>
      <w:pPr>
        <w:pStyle w:val="ListParagraph"/>
        <w:numPr>
          <w:ilvl w:val="0"/>
          <w:numId w:val="2"/>
        </w:numPr>
      </w:pPr>
      <w:r>
        <w:rPr>
          <w:rFonts w:ascii="Arial" w:cs="Arial" w:eastAsia="Arial" w:hAnsi="Arial"/>
          <w:sz w:val="24"/>
          <w:szCs w:val="24"/>
        </w:rPr>
        <w:t xml:space="preserve">CLUE.io platform for alternative CMap query approaches</w:t>
      </w:r>
    </w:p>
    <w:p>
      <w:pPr>
        <w:pStyle w:val="ListParagraph"/>
        <w:numPr>
          <w:ilvl w:val="0"/>
          <w:numId w:val="2"/>
        </w:numPr>
      </w:pPr>
      <w:r>
        <w:rPr>
          <w:rFonts w:ascii="Arial" w:cs="Arial" w:eastAsia="Arial" w:hAnsi="Arial"/>
          <w:sz w:val="24"/>
          <w:szCs w:val="24"/>
        </w:rPr>
        <w:t xml:space="preserve">Compound information aggregation tools (PubChem, ChemSpider lookups)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the CMap/L1000 database using ranked disease signatures from each of the 50 DEE gene knockouts to identify compounds whose transcriptional signatures show strong anti-correlation (negative connectivity, tau &lt; -0.5 threshold or similar).</w:t>
      </w:r>
    </w:p>
    <w:p>
      <w:pPr>
        <w:pStyle w:val="ListParagraph"/>
        <w:numPr>
          <w:ilvl w:val="0"/>
          <w:numId w:val="2"/>
        </w:numPr>
      </w:pPr>
      <w:r>
        <w:rPr>
          <w:rFonts w:ascii="Arial" w:cs="Arial" w:eastAsia="Arial" w:hAnsi="Arial"/>
          <w:i/>
          <w:iCs/>
          <w:sz w:val="24"/>
          <w:szCs w:val="24"/>
        </w:rPr>
        <w:t xml:space="preserve">Prioritize CMap hits using multiple criteria: strength of anti-correlation with disease signature, specificity for DEE functional cluster phenotypes, cell type relevance (neural/neuronal models if available), and prior literature support.</w:t>
      </w:r>
    </w:p>
    <w:p>
      <w:pPr>
        <w:pStyle w:val="ListParagraph"/>
        <w:numPr>
          <w:ilvl w:val="0"/>
          <w:numId w:val="2"/>
        </w:numPr>
      </w:pPr>
      <w:r>
        <w:rPr>
          <w:rFonts w:ascii="Arial" w:cs="Arial" w:eastAsia="Arial" w:hAnsi="Arial"/>
          <w:i/>
          <w:iCs/>
          <w:sz w:val="24"/>
          <w:szCs w:val="24"/>
        </w:rPr>
        <w:t xml:space="preserve">Retrieve detailed compound information for top hits including CMap compound IDs, chemical structures, in vitro activity data, and any available pharmacokinetic or clinical development information.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CMap query results for each of the 50 DEE knockouts (top 100 compounds ranked by connectivity score)</w:t>
      </w:r>
    </w:p>
    <w:p>
      <w:pPr>
        <w:pStyle w:val="ListParagraph"/>
        <w:numPr>
          <w:ilvl w:val="0"/>
          <w:numId w:val="2"/>
        </w:numPr>
      </w:pPr>
      <w:r>
        <w:rPr>
          <w:rFonts w:ascii="Arial" w:cs="Arial" w:eastAsia="Arial" w:hAnsi="Arial"/>
          <w:sz w:val="24"/>
          <w:szCs w:val="24"/>
        </w:rPr>
        <w:t xml:space="preserve">Consensus compound list for each functional cluster (compounds showing reversed signatures in ≥3 knockouts)</w:t>
      </w:r>
    </w:p>
    <w:p>
      <w:pPr>
        <w:pStyle w:val="ListParagraph"/>
        <w:numPr>
          <w:ilvl w:val="0"/>
          <w:numId w:val="2"/>
        </w:numPr>
      </w:pPr>
      <w:r>
        <w:rPr>
          <w:rFonts w:ascii="Arial" w:cs="Arial" w:eastAsia="Arial" w:hAnsi="Arial"/>
          <w:sz w:val="24"/>
          <w:szCs w:val="24"/>
        </w:rPr>
        <w:t xml:space="preserve">Detailed compound information sheet including chemical properties, target predictions, and development stage</w:t>
      </w:r>
    </w:p>
    <w:p>
      <w:pPr>
        <w:pStyle w:val="ListParagraph"/>
        <w:numPr>
          <w:ilvl w:val="0"/>
          <w:numId w:val="2"/>
        </w:numPr>
      </w:pPr>
      <w:r>
        <w:rPr>
          <w:rFonts w:ascii="Arial" w:cs="Arial" w:eastAsia="Arial" w:hAnsi="Arial"/>
          <w:sz w:val="24"/>
          <w:szCs w:val="24"/>
        </w:rPr>
        <w:t xml:space="preserve">Anti-correlation strength metrics and statistical significance assessments for top compounds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Compound ranking spreadsheet (TSV with compound ID, connectivity score, p-value), cluster consensus lists, detailed compound information file, and CMap raw results archive</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identified compounds against complementary target prediction and drug-target databases. Assess biological plausibility of identified compounds by evaluating predicted mechanism of action. Filter candidates based on safety, pharmacological properties, and development stage.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Top compounds identified from CMap screening</w:t>
      </w:r>
    </w:p>
    <w:p>
      <w:pPr>
        <w:pStyle w:val="ListParagraph"/>
        <w:numPr>
          <w:ilvl w:val="0"/>
          <w:numId w:val="2"/>
        </w:numPr>
      </w:pPr>
      <w:r>
        <w:rPr>
          <w:rFonts w:ascii="Arial" w:cs="Arial" w:eastAsia="Arial" w:hAnsi="Arial"/>
          <w:sz w:val="24"/>
          <w:szCs w:val="24"/>
        </w:rPr>
        <w:t xml:space="preserve">Predicted compound targets and mechanisms of action</w:t>
      </w:r>
    </w:p>
    <w:p>
      <w:pPr>
        <w:pStyle w:val="ListParagraph"/>
        <w:numPr>
          <w:ilvl w:val="0"/>
          <w:numId w:val="2"/>
        </w:numPr>
      </w:pPr>
      <w:r>
        <w:rPr>
          <w:rFonts w:ascii="Arial" w:cs="Arial" w:eastAsia="Arial" w:hAnsi="Arial"/>
          <w:sz w:val="24"/>
          <w:szCs w:val="24"/>
        </w:rPr>
        <w:t xml:space="preserve">Drug-target databases (DrugBank, STITCH, DGIdb)</w:t>
      </w:r>
    </w:p>
    <w:p>
      <w:pPr>
        <w:pStyle w:val="ListParagraph"/>
        <w:numPr>
          <w:ilvl w:val="0"/>
          <w:numId w:val="2"/>
        </w:numPr>
      </w:pPr>
      <w:r>
        <w:rPr>
          <w:rFonts w:ascii="Arial" w:cs="Arial" w:eastAsia="Arial" w:hAnsi="Arial"/>
          <w:sz w:val="24"/>
          <w:szCs w:val="24"/>
        </w:rPr>
        <w:t xml:space="preserve">Safety and pharmacokinetic property databases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STITCH (Search Tool for Interactions of Chemicals) database for compound-target predictions</w:t>
      </w:r>
    </w:p>
    <w:p>
      <w:pPr>
        <w:pStyle w:val="ListParagraph"/>
        <w:numPr>
          <w:ilvl w:val="0"/>
          <w:numId w:val="2"/>
        </w:numPr>
      </w:pPr>
      <w:r>
        <w:rPr>
          <w:rFonts w:ascii="Arial" w:cs="Arial" w:eastAsia="Arial" w:hAnsi="Arial"/>
          <w:sz w:val="24"/>
          <w:szCs w:val="24"/>
        </w:rPr>
        <w:t xml:space="preserve">DrugBank for drug target information, mechanism of action, and safety data</w:t>
      </w:r>
    </w:p>
    <w:p>
      <w:pPr>
        <w:pStyle w:val="ListParagraph"/>
        <w:numPr>
          <w:ilvl w:val="0"/>
          <w:numId w:val="2"/>
        </w:numPr>
      </w:pPr>
      <w:r>
        <w:rPr>
          <w:rFonts w:ascii="Arial" w:cs="Arial" w:eastAsia="Arial" w:hAnsi="Arial"/>
          <w:sz w:val="24"/>
          <w:szCs w:val="24"/>
        </w:rPr>
        <w:t xml:space="preserve">DGIdb (Drug-Gene Interaction Database) for compound-gene interactions</w:t>
      </w:r>
    </w:p>
    <w:p>
      <w:pPr>
        <w:pStyle w:val="ListParagraph"/>
        <w:numPr>
          <w:ilvl w:val="0"/>
          <w:numId w:val="2"/>
        </w:numPr>
      </w:pPr>
      <w:r>
        <w:rPr>
          <w:rFonts w:ascii="Arial" w:cs="Arial" w:eastAsia="Arial" w:hAnsi="Arial"/>
          <w:sz w:val="24"/>
          <w:szCs w:val="24"/>
        </w:rPr>
        <w:t xml:space="preserve">PubChem for chemical structures, properties, and bioactivity data</w:t>
      </w:r>
    </w:p>
    <w:p>
      <w:pPr>
        <w:pStyle w:val="ListParagraph"/>
        <w:numPr>
          <w:ilvl w:val="0"/>
          <w:numId w:val="2"/>
        </w:numPr>
      </w:pPr>
      <w:r>
        <w:rPr>
          <w:rFonts w:ascii="Arial" w:cs="Arial" w:eastAsia="Arial" w:hAnsi="Arial"/>
          <w:sz w:val="24"/>
          <w:szCs w:val="24"/>
        </w:rPr>
        <w:t xml:space="preserve">Prediction tools (SwissTargetPrediction, DrugmapperScore) for target inference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target prediction on top 50 CMap hits for each functional cluster using STITCH and SwissTargetPrediction to infer mechanism of action and predicted drug targets.</w:t>
      </w:r>
    </w:p>
    <w:p>
      <w:pPr>
        <w:pStyle w:val="ListParagraph"/>
        <w:numPr>
          <w:ilvl w:val="0"/>
          <w:numId w:val="2"/>
        </w:numPr>
      </w:pPr>
      <w:r>
        <w:rPr>
          <w:rFonts w:ascii="Arial" w:cs="Arial" w:eastAsia="Arial" w:hAnsi="Arial"/>
          <w:i/>
          <w:iCs/>
          <w:sz w:val="24"/>
          <w:szCs w:val="24"/>
        </w:rPr>
        <w:t xml:space="preserve">Cross-validate predicted compound targets against DEE pathway knowledge to assess biological plausibility (do predicted targets participate in identified enriched pathways or master regulator networks?).</w:t>
      </w:r>
    </w:p>
    <w:p>
      <w:pPr>
        <w:pStyle w:val="ListParagraph"/>
        <w:numPr>
          <w:ilvl w:val="0"/>
          <w:numId w:val="2"/>
        </w:numPr>
      </w:pPr>
      <w:r>
        <w:rPr>
          <w:rFonts w:ascii="Arial" w:cs="Arial" w:eastAsia="Arial" w:hAnsi="Arial"/>
          <w:i/>
          <w:iCs/>
          <w:sz w:val="24"/>
          <w:szCs w:val="24"/>
        </w:rPr>
        <w:t xml:space="preserve">Filter candidates based on pharmacological properties including BBB permeability (CNS penetration for neurological application), known toxicity, and development stage (prioritize clinical stage or advanced preclinical candidates).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Predicted compound targets and mechanism of action for top CMap hits (target name, prediction score, evidence source)</w:t>
      </w:r>
    </w:p>
    <w:p>
      <w:pPr>
        <w:pStyle w:val="ListParagraph"/>
        <w:numPr>
          <w:ilvl w:val="0"/>
          <w:numId w:val="2"/>
        </w:numPr>
      </w:pPr>
      <w:r>
        <w:rPr>
          <w:rFonts w:ascii="Arial" w:cs="Arial" w:eastAsia="Arial" w:hAnsi="Arial"/>
          <w:sz w:val="24"/>
          <w:szCs w:val="24"/>
        </w:rPr>
        <w:t xml:space="preserve">Biological plausibility assessment comparing predicted targets to DEE pathway and TF regulatory networks</w:t>
      </w:r>
    </w:p>
    <w:p>
      <w:pPr>
        <w:pStyle w:val="ListParagraph"/>
        <w:numPr>
          <w:ilvl w:val="0"/>
          <w:numId w:val="2"/>
        </w:numPr>
      </w:pPr>
      <w:r>
        <w:rPr>
          <w:rFonts w:ascii="Arial" w:cs="Arial" w:eastAsia="Arial" w:hAnsi="Arial"/>
          <w:sz w:val="24"/>
          <w:szCs w:val="24"/>
        </w:rPr>
        <w:t xml:space="preserve">Pharmacological property evaluation for top candidates (BBB penetration, metabolic stability, toxicity profile)</w:t>
      </w:r>
    </w:p>
    <w:p>
      <w:pPr>
        <w:pStyle w:val="ListParagraph"/>
        <w:numPr>
          <w:ilvl w:val="0"/>
          <w:numId w:val="2"/>
        </w:numPr>
      </w:pPr>
      <w:r>
        <w:rPr>
          <w:rFonts w:ascii="Arial" w:cs="Arial" w:eastAsia="Arial" w:hAnsi="Arial"/>
          <w:sz w:val="24"/>
          <w:szCs w:val="24"/>
        </w:rPr>
        <w:t xml:space="preserve">Filtered candidate list for each functional cluster with prioritization ranking</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Target prediction summary table (TSV), pharmacological properties spreadsheet, plausibility assessment report, and prioritized candidate ranking</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Cross-reference identified therapeutic candidates against published literature on DEE treatments and seizure disorder drugs. Assess whether any identified compounds have prior clinical evaluation in seizure or neurological disease contexts. Identify novel candidates requiring experimental validation.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Filtered therapeutic candidate compounds for each functional cluster</w:t>
      </w:r>
    </w:p>
    <w:p>
      <w:pPr>
        <w:pStyle w:val="ListParagraph"/>
        <w:numPr>
          <w:ilvl w:val="0"/>
          <w:numId w:val="2"/>
        </w:numPr>
      </w:pPr>
      <w:r>
        <w:rPr>
          <w:rFonts w:ascii="Arial" w:cs="Arial" w:eastAsia="Arial" w:hAnsi="Arial"/>
          <w:sz w:val="24"/>
          <w:szCs w:val="24"/>
        </w:rPr>
        <w:t xml:space="preserve">Published literature on DEE treatments and seizure disorder pharmacotherapy</w:t>
      </w:r>
    </w:p>
    <w:p>
      <w:pPr>
        <w:pStyle w:val="ListParagraph"/>
        <w:numPr>
          <w:ilvl w:val="0"/>
          <w:numId w:val="2"/>
        </w:numPr>
      </w:pPr>
      <w:r>
        <w:rPr>
          <w:rFonts w:ascii="Arial" w:cs="Arial" w:eastAsia="Arial" w:hAnsi="Arial"/>
          <w:sz w:val="24"/>
          <w:szCs w:val="24"/>
        </w:rPr>
        <w:t xml:space="preserve">Clinical trial databases (ClinicalTrials.gov) for ongoing evaluations</w:t>
      </w:r>
    </w:p>
    <w:p>
      <w:pPr>
        <w:pStyle w:val="ListParagraph"/>
        <w:numPr>
          <w:ilvl w:val="0"/>
          <w:numId w:val="2"/>
        </w:numPr>
      </w:pPr>
      <w:r>
        <w:rPr>
          <w:rFonts w:ascii="Arial" w:cs="Arial" w:eastAsia="Arial" w:hAnsi="Arial"/>
          <w:sz w:val="24"/>
          <w:szCs w:val="24"/>
        </w:rPr>
        <w:t xml:space="preserve">Regulatory approval databases (FDA, EMA) for approved seizure medications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 literature search tools and text mining for compound-disease associations</w:t>
      </w:r>
    </w:p>
    <w:p>
      <w:pPr>
        <w:pStyle w:val="ListParagraph"/>
        <w:numPr>
          <w:ilvl w:val="0"/>
          <w:numId w:val="2"/>
        </w:numPr>
      </w:pPr>
      <w:r>
        <w:rPr>
          <w:rFonts w:ascii="Arial" w:cs="Arial" w:eastAsia="Arial" w:hAnsi="Arial"/>
          <w:sz w:val="24"/>
          <w:szCs w:val="24"/>
        </w:rPr>
        <w:t xml:space="preserve">ClinicalTrials.gov API for ongoing and completed trials</w:t>
      </w:r>
    </w:p>
    <w:p>
      <w:pPr>
        <w:pStyle w:val="ListParagraph"/>
        <w:numPr>
          <w:ilvl w:val="0"/>
          <w:numId w:val="2"/>
        </w:numPr>
      </w:pPr>
      <w:r>
        <w:rPr>
          <w:rFonts w:ascii="Arial" w:cs="Arial" w:eastAsia="Arial" w:hAnsi="Arial"/>
          <w:sz w:val="24"/>
          <w:szCs w:val="24"/>
        </w:rPr>
        <w:t xml:space="preserve">Cortellis (Thomson Reuters) for drug development and regulatory information</w:t>
      </w:r>
    </w:p>
    <w:p>
      <w:pPr>
        <w:pStyle w:val="ListParagraph"/>
        <w:numPr>
          <w:ilvl w:val="0"/>
          <w:numId w:val="2"/>
        </w:numPr>
      </w:pPr>
      <w:r>
        <w:rPr>
          <w:rFonts w:ascii="Arial" w:cs="Arial" w:eastAsia="Arial" w:hAnsi="Arial"/>
          <w:sz w:val="24"/>
          <w:szCs w:val="24"/>
        </w:rPr>
        <w:t xml:space="preserve">FDA and EMA approval databases for seizure disorder medications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Search published literature (PubMed, Google Scholar) and clinical trial databases (ClinicalTrials.gov) for previous evaluation of identified therapeutic candidates in seizure disorders, neurological disease, or related phenotypes.</w:t>
      </w:r>
    </w:p>
    <w:p>
      <w:pPr>
        <w:pStyle w:val="ListParagraph"/>
        <w:numPr>
          <w:ilvl w:val="0"/>
          <w:numId w:val="2"/>
        </w:numPr>
      </w:pPr>
      <w:r>
        <w:rPr>
          <w:rFonts w:ascii="Arial" w:cs="Arial" w:eastAsia="Arial" w:hAnsi="Arial"/>
          <w:i/>
          <w:iCs/>
          <w:sz w:val="24"/>
          <w:szCs w:val="24"/>
        </w:rPr>
        <w:t xml:space="preserve">Cross-reference identified compounds against FDA-approved seizure medications and DEE-specific treatments to identify whether candidates represent known efficacious agents or novel therapeutic opportunities.</w:t>
      </w:r>
    </w:p>
    <w:p>
      <w:pPr>
        <w:pStyle w:val="ListParagraph"/>
        <w:numPr>
          <w:ilvl w:val="0"/>
          <w:numId w:val="2"/>
        </w:numPr>
      </w:pPr>
      <w:r>
        <w:rPr>
          <w:rFonts w:ascii="Arial" w:cs="Arial" w:eastAsia="Arial" w:hAnsi="Arial"/>
          <w:i/>
          <w:iCs/>
          <w:sz w:val="24"/>
          <w:szCs w:val="24"/>
        </w:rPr>
        <w:t xml:space="preserve">Compile existing preclinical or clinical data for identified candidates including mechanism of action, efficacy in relevant disease models, and safety profile.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Literature search results for each identified therapeutic candidate (publications, trial information, clinical development stage)</w:t>
      </w:r>
    </w:p>
    <w:p>
      <w:pPr>
        <w:pStyle w:val="ListParagraph"/>
        <w:numPr>
          <w:ilvl w:val="0"/>
          <w:numId w:val="2"/>
        </w:numPr>
      </w:pPr>
      <w:r>
        <w:rPr>
          <w:rFonts w:ascii="Arial" w:cs="Arial" w:eastAsia="Arial" w:hAnsi="Arial"/>
          <w:sz w:val="24"/>
          <w:szCs w:val="24"/>
        </w:rPr>
        <w:t xml:space="preserve">Comparison of candidates to existing DEE treatments and approved seizure medications</w:t>
      </w:r>
    </w:p>
    <w:p>
      <w:pPr>
        <w:pStyle w:val="ListParagraph"/>
        <w:numPr>
          <w:ilvl w:val="0"/>
          <w:numId w:val="2"/>
        </w:numPr>
      </w:pPr>
      <w:r>
        <w:rPr>
          <w:rFonts w:ascii="Arial" w:cs="Arial" w:eastAsia="Arial" w:hAnsi="Arial"/>
          <w:sz w:val="24"/>
          <w:szCs w:val="24"/>
        </w:rPr>
        <w:t xml:space="preserve">Summary of existing preclinical/clinical data supporting or contradicting therapeutic potential</w:t>
      </w:r>
    </w:p>
    <w:p>
      <w:pPr>
        <w:pStyle w:val="ListParagraph"/>
        <w:numPr>
          <w:ilvl w:val="0"/>
          <w:numId w:val="2"/>
        </w:numPr>
      </w:pPr>
      <w:r>
        <w:rPr>
          <w:rFonts w:ascii="Arial" w:cs="Arial" w:eastAsia="Arial" w:hAnsi="Arial"/>
          <w:sz w:val="24"/>
          <w:szCs w:val="24"/>
        </w:rPr>
        <w:t xml:space="preserve">Classification of candidates as: known approved drugs (repurposing opportunity), clinical-stage drugs (validation needed), or novel preclinical candidates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Literature summary spreadsheet (compound name, publications, trial status), development stage classification table, and existing data summary report</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CMap findings into therapeutic hypotheses for each functional cluster. Develop mechanistic frameworks linking identified compounds to DEE gene dysfunction and pathway dysregulation. Propose experimental validation strategies for therapeutic candidates.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CMap-identified compounds and predicted mechanisms of action</w:t>
      </w:r>
    </w:p>
    <w:p>
      <w:pPr>
        <w:pStyle w:val="ListParagraph"/>
        <w:numPr>
          <w:ilvl w:val="0"/>
          <w:numId w:val="2"/>
        </w:numPr>
      </w:pPr>
      <w:r>
        <w:rPr>
          <w:rFonts w:ascii="Arial" w:cs="Arial" w:eastAsia="Arial" w:hAnsi="Arial"/>
          <w:sz w:val="24"/>
          <w:szCs w:val="24"/>
        </w:rPr>
        <w:t xml:space="preserve">Cross-validation results and literature support</w:t>
      </w:r>
    </w:p>
    <w:p>
      <w:pPr>
        <w:pStyle w:val="ListParagraph"/>
        <w:numPr>
          <w:ilvl w:val="0"/>
          <w:numId w:val="2"/>
        </w:numPr>
      </w:pPr>
      <w:r>
        <w:rPr>
          <w:rFonts w:ascii="Arial" w:cs="Arial" w:eastAsia="Arial" w:hAnsi="Arial"/>
          <w:sz w:val="24"/>
          <w:szCs w:val="24"/>
        </w:rPr>
        <w:t xml:space="preserve">DEE pathway dysregulation and TF regulatory network findings</w:t>
      </w:r>
    </w:p>
    <w:p>
      <w:pPr>
        <w:pStyle w:val="ListParagraph"/>
        <w:numPr>
          <w:ilvl w:val="0"/>
          <w:numId w:val="2"/>
        </w:numPr>
      </w:pPr>
      <w:r>
        <w:rPr>
          <w:rFonts w:ascii="Arial" w:cs="Arial" w:eastAsia="Arial" w:hAnsi="Arial"/>
          <w:sz w:val="24"/>
          <w:szCs w:val="24"/>
        </w:rPr>
        <w:t xml:space="preserve">Functional cluster phenotypic characterization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Pathway integration platforms (Reactome, KEGG) for mechanism visualization</w:t>
      </w:r>
    </w:p>
    <w:p>
      <w:pPr>
        <w:pStyle w:val="ListParagraph"/>
        <w:numPr>
          <w:ilvl w:val="0"/>
          <w:numId w:val="2"/>
        </w:numPr>
      </w:pPr>
      <w:r>
        <w:rPr>
          <w:rFonts w:ascii="Arial" w:cs="Arial" w:eastAsia="Arial" w:hAnsi="Arial"/>
          <w:sz w:val="24"/>
          <w:szCs w:val="24"/>
        </w:rPr>
        <w:t xml:space="preserve">Network analysis tools (Cytoscape) for linking compounds to disease pathways</w:t>
      </w:r>
    </w:p>
    <w:p>
      <w:pPr>
        <w:pStyle w:val="ListParagraph"/>
        <w:numPr>
          <w:ilvl w:val="0"/>
          <w:numId w:val="2"/>
        </w:numPr>
      </w:pPr>
      <w:r>
        <w:rPr>
          <w:rFonts w:ascii="Arial" w:cs="Arial" w:eastAsia="Arial" w:hAnsi="Arial"/>
          <w:sz w:val="24"/>
          <w:szCs w:val="24"/>
        </w:rPr>
        <w:t xml:space="preserve">Literature synthesis tools and knowledge base platforms</w:t>
      </w:r>
    </w:p>
    <w:p>
      <w:pPr>
        <w:pStyle w:val="ListParagraph"/>
        <w:numPr>
          <w:ilvl w:val="0"/>
          <w:numId w:val="2"/>
        </w:numPr>
      </w:pPr>
      <w:r>
        <w:rPr>
          <w:rFonts w:ascii="Arial" w:cs="Arial" w:eastAsia="Arial" w:hAnsi="Arial"/>
          <w:sz w:val="24"/>
          <w:szCs w:val="24"/>
        </w:rPr>
        <w:t xml:space="preserve">Experimental design tools for therapeutic validation study planning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Develop therapeutic hypotheses for each functional cluster explaining how identified CMap compounds reverse the transcriptional signatures induced by DEE gene perturbations (mechanistic links).</w:t>
      </w:r>
    </w:p>
    <w:p>
      <w:pPr>
        <w:pStyle w:val="ListParagraph"/>
        <w:numPr>
          <w:ilvl w:val="0"/>
          <w:numId w:val="2"/>
        </w:numPr>
      </w:pPr>
      <w:r>
        <w:rPr>
          <w:rFonts w:ascii="Arial" w:cs="Arial" w:eastAsia="Arial" w:hAnsi="Arial"/>
          <w:i/>
          <w:iCs/>
          <w:sz w:val="24"/>
          <w:szCs w:val="24"/>
        </w:rPr>
        <w:t xml:space="preserve">Propose experimental validation approaches for top therapeutic candidates including: (1) transcriptomic validation (RNA-seq to confirm signature reversal), (2) phenotypic rescue assessment (Optopatch electrophysiology), and (3) target engagement studies.</w:t>
      </w:r>
    </w:p>
    <w:p>
      <w:pPr>
        <w:pStyle w:val="ListParagraph"/>
        <w:numPr>
          <w:ilvl w:val="0"/>
          <w:numId w:val="2"/>
        </w:numPr>
      </w:pPr>
      <w:r>
        <w:rPr>
          <w:rFonts w:ascii="Arial" w:cs="Arial" w:eastAsia="Arial" w:hAnsi="Arial"/>
          <w:i/>
          <w:iCs/>
          <w:sz w:val="24"/>
          <w:szCs w:val="24"/>
        </w:rPr>
        <w:t xml:space="preserve">Identify opportunities for combination therapeutic strategies linking CMap compounds with other intervention approaches (CRISPR rescue, transcriptional modulation of master regulators, pathway-targeted interventions).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Therapeutic hypothesis document for each functional cluster (compound names, proposed mechanisms, expected phenotypic outcomes)</w:t>
      </w:r>
    </w:p>
    <w:p>
      <w:pPr>
        <w:pStyle w:val="ListParagraph"/>
        <w:numPr>
          <w:ilvl w:val="0"/>
          <w:numId w:val="2"/>
        </w:numPr>
      </w:pPr>
      <w:r>
        <w:rPr>
          <w:rFonts w:ascii="Arial" w:cs="Arial" w:eastAsia="Arial" w:hAnsi="Arial"/>
          <w:sz w:val="24"/>
          <w:szCs w:val="24"/>
        </w:rPr>
        <w:t xml:space="preserve">Experimental validation strategy documents for top therapeutic candidates</w:t>
      </w:r>
    </w:p>
    <w:p>
      <w:pPr>
        <w:pStyle w:val="ListParagraph"/>
        <w:numPr>
          <w:ilvl w:val="0"/>
          <w:numId w:val="2"/>
        </w:numPr>
      </w:pPr>
      <w:r>
        <w:rPr>
          <w:rFonts w:ascii="Arial" w:cs="Arial" w:eastAsia="Arial" w:hAnsi="Arial"/>
          <w:sz w:val="24"/>
          <w:szCs w:val="24"/>
        </w:rPr>
        <w:t xml:space="preserve">Combination therapeutic strategy hypotheses linking multiple intervention approaches</w:t>
      </w:r>
    </w:p>
    <w:p>
      <w:pPr>
        <w:pStyle w:val="ListParagraph"/>
        <w:numPr>
          <w:ilvl w:val="0"/>
          <w:numId w:val="2"/>
        </w:numPr>
      </w:pPr>
      <w:r>
        <w:rPr>
          <w:rFonts w:ascii="Arial" w:cs="Arial" w:eastAsia="Arial" w:hAnsi="Arial"/>
          <w:sz w:val="24"/>
          <w:szCs w:val="24"/>
        </w:rPr>
        <w:t xml:space="preserve">Prioritized candidate compound list for experimental validation with supporting rationale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Mechanistic hypothesis document with embedded network diagrams (markdown/text), experimental validation protocol summary, combination strategy worksheet, and prioritized candidate summary table</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supplementary materials documenting CMap screening methodology, results, and therapeutic hypothesis development. Prepare data suitable for public sharing and integration with ongoing experimental validation studies. Create reproducible documentation of all analyses.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CMap screening results and candidate identification findings</w:t>
      </w:r>
    </w:p>
    <w:p>
      <w:pPr>
        <w:pStyle w:val="ListParagraph"/>
        <w:numPr>
          <w:ilvl w:val="0"/>
          <w:numId w:val="2"/>
        </w:numPr>
      </w:pPr>
      <w:r>
        <w:rPr>
          <w:rFonts w:ascii="Arial" w:cs="Arial" w:eastAsia="Arial" w:hAnsi="Arial"/>
          <w:sz w:val="24"/>
          <w:szCs w:val="24"/>
        </w:rPr>
        <w:t xml:space="preserve">Therapeutic hypothesis development and validation strategy documentation</w:t>
      </w:r>
    </w:p>
    <w:p>
      <w:pPr>
        <w:pStyle w:val="ListParagraph"/>
        <w:numPr>
          <w:ilvl w:val="0"/>
          <w:numId w:val="2"/>
        </w:numPr>
      </w:pPr>
      <w:r>
        <w:rPr>
          <w:rFonts w:ascii="Arial" w:cs="Arial" w:eastAsia="Arial" w:hAnsi="Arial"/>
          <w:sz w:val="24"/>
          <w:szCs w:val="24"/>
        </w:rPr>
        <w:t xml:space="preserve">Methodology and parameter specifications for all analyses</w:t>
      </w:r>
    </w:p>
    <w:p>
      <w:pPr>
        <w:pStyle w:val="ListParagraph"/>
        <w:numPr>
          <w:ilvl w:val="0"/>
          <w:numId w:val="2"/>
        </w:numPr>
      </w:pPr>
      <w:r>
        <w:rPr>
          <w:rFonts w:ascii="Arial" w:cs="Arial" w:eastAsia="Arial" w:hAnsi="Arial"/>
          <w:sz w:val="24"/>
          <w:szCs w:val="24"/>
        </w:rPr>
        <w:t xml:space="preserve">Quality metrics and statistical summaries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Data packaging and formatting tools (Python/R scripts)</w:t>
      </w:r>
    </w:p>
    <w:p>
      <w:pPr>
        <w:pStyle w:val="ListParagraph"/>
        <w:numPr>
          <w:ilvl w:val="0"/>
          <w:numId w:val="2"/>
        </w:numPr>
      </w:pPr>
      <w:r>
        <w:rPr>
          <w:rFonts w:ascii="Arial" w:cs="Arial" w:eastAsia="Arial" w:hAnsi="Arial"/>
          <w:sz w:val="24"/>
          <w:szCs w:val="24"/>
        </w:rPr>
        <w:t xml:space="preserve">Reproducible analysis documentation (Jupyter notebooks, markdown)</w:t>
      </w:r>
    </w:p>
    <w:p>
      <w:pPr>
        <w:pStyle w:val="ListParagraph"/>
        <w:numPr>
          <w:ilvl w:val="0"/>
          <w:numId w:val="2"/>
        </w:numPr>
      </w:pPr>
      <w:r>
        <w:rPr>
          <w:rFonts w:ascii="Arial" w:cs="Arial" w:eastAsia="Arial" w:hAnsi="Arial"/>
          <w:sz w:val="24"/>
          <w:szCs w:val="24"/>
        </w:rPr>
        <w:t xml:space="preserve">Chemical structure visualization and database tools</w:t>
      </w:r>
    </w:p>
    <w:p>
      <w:pPr>
        <w:pStyle w:val="ListParagraph"/>
        <w:numPr>
          <w:ilvl w:val="0"/>
          <w:numId w:val="2"/>
        </w:numPr>
      </w:pPr>
      <w:r>
        <w:rPr>
          <w:rFonts w:ascii="Arial" w:cs="Arial" w:eastAsia="Arial" w:hAnsi="Arial"/>
          <w:sz w:val="24"/>
          <w:szCs w:val="24"/>
        </w:rPr>
        <w:t xml:space="preserve">Version control systems (Git) for code and analysis tracking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supplementary data tables including complete CMap query results for all 50 knockouts, ranked compound lists per functional cluster, predicted targets, and pharmacological properties.</w:t>
      </w:r>
    </w:p>
    <w:p>
      <w:pPr>
        <w:pStyle w:val="ListParagraph"/>
        <w:numPr>
          <w:ilvl w:val="0"/>
          <w:numId w:val="2"/>
        </w:numPr>
      </w:pPr>
      <w:r>
        <w:rPr>
          <w:rFonts w:ascii="Arial" w:cs="Arial" w:eastAsia="Arial" w:hAnsi="Arial"/>
          <w:i/>
          <w:iCs/>
          <w:sz w:val="24"/>
          <w:szCs w:val="24"/>
        </w:rPr>
        <w:t xml:space="preserve">Create detailed methodology documentation describing CMap query specifications, similarity metrics used, filtering criteria applied, and target prediction tool parameters.</w:t>
      </w:r>
    </w:p>
    <w:p>
      <w:pPr>
        <w:pStyle w:val="ListParagraph"/>
        <w:numPr>
          <w:ilvl w:val="0"/>
          <w:numId w:val="2"/>
        </w:numPr>
      </w:pPr>
      <w:r>
        <w:rPr>
          <w:rFonts w:ascii="Arial" w:cs="Arial" w:eastAsia="Arial" w:hAnsi="Arial"/>
          <w:i/>
          <w:iCs/>
          <w:sz w:val="24"/>
          <w:szCs w:val="24"/>
        </w:rPr>
        <w:t xml:space="preserve">Package all CMap screening data, compound information, predicted targets, therapeutic hypotheses, and experimental validation strategies into a comprehensive archive for research team sharing and public deposition.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Supplementary data files containing complete CMap results, ranked compound lists, target predictions, and pharmacological properties</w:t>
      </w:r>
    </w:p>
    <w:p>
      <w:pPr>
        <w:pStyle w:val="ListParagraph"/>
        <w:numPr>
          <w:ilvl w:val="0"/>
          <w:numId w:val="2"/>
        </w:numPr>
      </w:pPr>
      <w:r>
        <w:rPr>
          <w:rFonts w:ascii="Arial" w:cs="Arial" w:eastAsia="Arial" w:hAnsi="Arial"/>
          <w:sz w:val="24"/>
          <w:szCs w:val="24"/>
        </w:rPr>
        <w:t xml:space="preserve">Comprehensive methodology document with CMap database version, query parameters, and statistical methods</w:t>
      </w:r>
    </w:p>
    <w:p>
      <w:pPr>
        <w:pStyle w:val="ListParagraph"/>
        <w:numPr>
          <w:ilvl w:val="0"/>
          <w:numId w:val="2"/>
        </w:numPr>
      </w:pPr>
      <w:r>
        <w:rPr>
          <w:rFonts w:ascii="Arial" w:cs="Arial" w:eastAsia="Arial" w:hAnsi="Arial"/>
          <w:sz w:val="24"/>
          <w:szCs w:val="24"/>
        </w:rPr>
        <w:t xml:space="preserve">Detailed compound information archive with structures, chemical properties, and existing bioactivity data</w:t>
      </w:r>
    </w:p>
    <w:p>
      <w:pPr>
        <w:pStyle w:val="ListParagraph"/>
        <w:numPr>
          <w:ilvl w:val="0"/>
          <w:numId w:val="2"/>
        </w:numPr>
      </w:pPr>
      <w:r>
        <w:rPr>
          <w:rFonts w:ascii="Arial" w:cs="Arial" w:eastAsia="Arial" w:hAnsi="Arial"/>
          <w:sz w:val="24"/>
          <w:szCs w:val="24"/>
        </w:rPr>
        <w:t xml:space="preserve">Therapeutic hypothesis and experimental validation strategy documentation package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CMap results spreadsheet (TSV), compound information database (TSV/CSV), methodology documentation (PDF), compound structure files (SDF/MOL), and therapeutic hypothesis archive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Connectivity Map (CMap) database web interface and programmatic API for compound screening</w:t>
      </w:r>
    </w:p>
    <w:p>
      <w:pPr>
        <w:pStyle w:val="ListParagraph"/>
        <w:numPr>
          <w:ilvl w:val="0"/>
          <w:numId w:val="2"/>
        </w:numPr>
      </w:pPr>
      <w:r>
        <w:rPr>
          <w:rFonts w:ascii="Arial" w:cs="Arial" w:eastAsia="Arial" w:hAnsi="Arial"/>
          <w:sz w:val="24"/>
          <w:szCs w:val="24"/>
        </w:rPr>
        <w:t xml:space="preserve">CMap cmapPy Python package for systematic large-scale database queries and analysis</w:t>
      </w:r>
    </w:p>
    <w:p>
      <w:pPr>
        <w:pStyle w:val="ListParagraph"/>
        <w:numPr>
          <w:ilvl w:val="0"/>
          <w:numId w:val="2"/>
        </w:numPr>
      </w:pPr>
      <w:r>
        <w:rPr>
          <w:rFonts w:ascii="Arial" w:cs="Arial" w:eastAsia="Arial" w:hAnsi="Arial"/>
          <w:sz w:val="24"/>
          <w:szCs w:val="24"/>
        </w:rPr>
        <w:t xml:space="preserve">CLUE.io platform for alternative CMap analysis approaches and compound signature comparisons</w:t>
      </w:r>
    </w:p>
    <w:p>
      <w:pPr>
        <w:pStyle w:val="ListParagraph"/>
        <w:numPr>
          <w:ilvl w:val="0"/>
          <w:numId w:val="2"/>
        </w:numPr>
      </w:pPr>
      <w:r>
        <w:rPr>
          <w:rFonts w:ascii="Arial" w:cs="Arial" w:eastAsia="Arial" w:hAnsi="Arial"/>
          <w:sz w:val="24"/>
          <w:szCs w:val="24"/>
        </w:rPr>
        <w:t xml:space="preserve">LINCS L1000 gene expression measurement technology and data access through CMap</w:t>
      </w:r>
    </w:p>
    <w:p>
      <w:pPr>
        <w:pStyle w:val="ListParagraph"/>
        <w:numPr>
          <w:ilvl w:val="0"/>
          <w:numId w:val="2"/>
        </w:numPr>
      </w:pPr>
      <w:r>
        <w:rPr>
          <w:rFonts w:ascii="Arial" w:cs="Arial" w:eastAsia="Arial" w:hAnsi="Arial"/>
          <w:sz w:val="24"/>
          <w:szCs w:val="24"/>
        </w:rPr>
        <w:t xml:space="preserve">Gene identifier conversion tools (NCBI Gene, Ensembl) for cross-database compatibility</w:t>
      </w:r>
    </w:p>
    <w:p>
      <w:pPr>
        <w:pStyle w:val="ListParagraph"/>
        <w:numPr>
          <w:ilvl w:val="0"/>
          <w:numId w:val="2"/>
        </w:numPr>
      </w:pPr>
      <w:r>
        <w:rPr>
          <w:rFonts w:ascii="Arial" w:cs="Arial" w:eastAsia="Arial" w:hAnsi="Arial"/>
          <w:sz w:val="24"/>
          <w:szCs w:val="24"/>
        </w:rPr>
        <w:t xml:space="preserve">STITCH (Search Tool for Interactions of Chemicals) for compound-target predictions</w:t>
      </w:r>
    </w:p>
    <w:p>
      <w:pPr>
        <w:pStyle w:val="ListParagraph"/>
        <w:numPr>
          <w:ilvl w:val="0"/>
          <w:numId w:val="2"/>
        </w:numPr>
      </w:pPr>
      <w:r>
        <w:rPr>
          <w:rFonts w:ascii="Arial" w:cs="Arial" w:eastAsia="Arial" w:hAnsi="Arial"/>
          <w:sz w:val="24"/>
          <w:szCs w:val="24"/>
        </w:rPr>
        <w:t xml:space="preserve">DrugBank for drug target information, mechanism of action, and safety profiles</w:t>
      </w:r>
    </w:p>
    <w:p>
      <w:pPr>
        <w:pStyle w:val="ListParagraph"/>
        <w:numPr>
          <w:ilvl w:val="0"/>
          <w:numId w:val="2"/>
        </w:numPr>
      </w:pPr>
      <w:r>
        <w:rPr>
          <w:rFonts w:ascii="Arial" w:cs="Arial" w:eastAsia="Arial" w:hAnsi="Arial"/>
          <w:sz w:val="24"/>
          <w:szCs w:val="24"/>
        </w:rPr>
        <w:t xml:space="preserve">DGIdb (Drug-Gene Interaction Database) for compound-gene interaction information</w:t>
      </w:r>
    </w:p>
    <w:p>
      <w:pPr>
        <w:pStyle w:val="ListParagraph"/>
        <w:numPr>
          <w:ilvl w:val="0"/>
          <w:numId w:val="2"/>
        </w:numPr>
      </w:pPr>
      <w:r>
        <w:rPr>
          <w:rFonts w:ascii="Arial" w:cs="Arial" w:eastAsia="Arial" w:hAnsi="Arial"/>
          <w:sz w:val="24"/>
          <w:szCs w:val="24"/>
        </w:rPr>
        <w:t xml:space="preserve">PubChem for chemical structures, properties, and bioactivity data retrieval</w:t>
      </w:r>
    </w:p>
    <w:p>
      <w:pPr>
        <w:pStyle w:val="ListParagraph"/>
        <w:numPr>
          <w:ilvl w:val="0"/>
          <w:numId w:val="2"/>
        </w:numPr>
      </w:pPr>
      <w:r>
        <w:rPr>
          <w:rFonts w:ascii="Arial" w:cs="Arial" w:eastAsia="Arial" w:hAnsi="Arial"/>
          <w:sz w:val="24"/>
          <w:szCs w:val="24"/>
        </w:rPr>
        <w:t xml:space="preserve">SwissTargetPrediction and related target inference tools for mechanism of action prediction</w:t>
      </w:r>
    </w:p>
    <w:p>
      <w:pPr>
        <w:pStyle w:val="ListParagraph"/>
        <w:numPr>
          <w:ilvl w:val="0"/>
          <w:numId w:val="2"/>
        </w:numPr>
      </w:pPr>
      <w:r>
        <w:rPr>
          <w:rFonts w:ascii="Arial" w:cs="Arial" w:eastAsia="Arial" w:hAnsi="Arial"/>
          <w:sz w:val="24"/>
          <w:szCs w:val="24"/>
        </w:rPr>
        <w:t xml:space="preserve">ClinicalTrials.gov and literature databases (PubMed) for clinical and development stage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2026-03-25T17:24:33.247Z</dcterms:created>
  <dcterms:modified xsi:type="dcterms:W3CDTF">2026-03-25T17:24:33.247Z</dcterms:modified>
</cp:coreProperties>
</file>

<file path=docProps/custom.xml><?xml version="1.0" encoding="utf-8"?>
<Properties xmlns="http://schemas.openxmlformats.org/officeDocument/2006/custom-properties" xmlns:vt="http://schemas.openxmlformats.org/officeDocument/2006/docPropsVTypes"/>
</file>