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#047: Integrated Drug Target Prioritization &amp; Ranking</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functional cluster and RNA-seq data, identify the top 10 most promising drug targets per cluster by integrating druggability scores, pathway centrality, expression specificity, genetic constraint (gnomAD), and consistency of phenotypic effect across cluster members.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For each common node/functional cluster identified in the Angelini data, identify the top 10 most promising drug targets per cluster by integrating druggability scores, pathway centrality, expression specificity, genetic constraint, and consistency of phenotypic effect across cluster members.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 Requires multi-criteria target ranking, integration of five distinct scoring modalities, statistical consolidation across diverse data types, and evidence-based prioritization for drug development.</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gene lists and expression/phenotype data per functional cluster; prepare for multi-criteria target prioritization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definitions</w:t>
      </w:r>
    </w:p>
    <w:p>
      <w:pPr>
        <w:pStyle w:val="ListParagraph"/>
        <w:numPr>
          <w:ilvl w:val="0"/>
          <w:numId w:val="2"/>
        </w:numPr>
      </w:pPr>
      <w:r>
        <w:rPr>
          <w:rFonts w:ascii="Arial" w:cs="Arial" w:eastAsia="Arial" w:hAnsi="Arial"/>
          <w:sz w:val="24"/>
          <w:szCs w:val="24"/>
        </w:rPr>
        <w:t xml:space="preserve">Gene membership lists per cluster</w:t>
      </w:r>
    </w:p>
    <w:p>
      <w:pPr>
        <w:pStyle w:val="ListParagraph"/>
        <w:numPr>
          <w:ilvl w:val="0"/>
          <w:numId w:val="2"/>
        </w:numPr>
      </w:pPr>
      <w:r>
        <w:rPr>
          <w:rFonts w:ascii="Arial" w:cs="Arial" w:eastAsia="Arial" w:hAnsi="Arial"/>
          <w:sz w:val="24"/>
          <w:szCs w:val="24"/>
        </w:rPr>
        <w:t xml:space="preserve">RNA-seq fold-changes and DEG statistics</w:t>
      </w:r>
    </w:p>
    <w:p>
      <w:pPr>
        <w:pStyle w:val="ListParagraph"/>
        <w:numPr>
          <w:ilvl w:val="0"/>
          <w:numId w:val="2"/>
        </w:numPr>
      </w:pPr>
      <w:r>
        <w:rPr>
          <w:rFonts w:ascii="Arial" w:cs="Arial" w:eastAsia="Arial" w:hAnsi="Arial"/>
          <w:sz w:val="24"/>
          <w:szCs w:val="24"/>
        </w:rPr>
        <w:t xml:space="preserve">Optopatch functional parameter data</w:t>
      </w:r>
    </w:p>
    <w:p>
      <w:pPr>
        <w:pStyle w:val="ListParagraph"/>
        <w:numPr>
          <w:ilvl w:val="0"/>
          <w:numId w:val="2"/>
        </w:numPr>
      </w:pPr>
      <w:r>
        <w:rPr>
          <w:rFonts w:ascii="Arial" w:cs="Arial" w:eastAsia="Arial" w:hAnsi="Arial"/>
          <w:sz w:val="24"/>
          <w:szCs w:val="24"/>
        </w:rPr>
        <w:t xml:space="preserve">Genetic variation and constraint scores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BioMart (gene ID standardization)</w:t>
      </w:r>
    </w:p>
    <w:p>
      <w:pPr>
        <w:pStyle w:val="ListParagraph"/>
        <w:numPr>
          <w:ilvl w:val="0"/>
          <w:numId w:val="2"/>
        </w:numPr>
      </w:pPr>
      <w:r>
        <w:rPr>
          <w:rFonts w:ascii="Arial" w:cs="Arial" w:eastAsia="Arial" w:hAnsi="Arial"/>
          <w:sz w:val="24"/>
          <w:szCs w:val="24"/>
        </w:rPr>
        <w:t xml:space="preserve">gnomAD (genetic constraint scores)</w:t>
      </w:r>
    </w:p>
    <w:p>
      <w:pPr>
        <w:pStyle w:val="ListParagraph"/>
        <w:numPr>
          <w:ilvl w:val="0"/>
          <w:numId w:val="2"/>
        </w:numPr>
      </w:pPr>
      <w:r>
        <w:rPr>
          <w:rFonts w:ascii="Arial" w:cs="Arial" w:eastAsia="Arial" w:hAnsi="Arial"/>
          <w:sz w:val="24"/>
          <w:szCs w:val="24"/>
        </w:rPr>
        <w:t xml:space="preserve">R base packages (data compilation)</w:t>
      </w:r>
    </w:p>
    <w:p>
      <w:pPr>
        <w:pStyle w:val="ListParagraph"/>
        <w:numPr>
          <w:ilvl w:val="0"/>
          <w:numId w:val="2"/>
        </w:numPr>
      </w:pPr>
      <w:r>
        <w:rPr>
          <w:rFonts w:ascii="Arial" w:cs="Arial" w:eastAsia="Arial" w:hAnsi="Arial"/>
          <w:sz w:val="24"/>
          <w:szCs w:val="24"/>
        </w:rPr>
        <w:t xml:space="preserve">dplyr (data organization)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Obtain confirmed gene membership and functional cluster definitions from Angelini analysis</w:t>
      </w:r>
    </w:p>
    <w:p>
      <w:pPr>
        <w:pStyle w:val="ListParagraph"/>
        <w:numPr>
          <w:ilvl w:val="0"/>
          <w:numId w:val="2"/>
        </w:numPr>
      </w:pPr>
      <w:r>
        <w:rPr>
          <w:rFonts w:ascii="Arial" w:cs="Arial" w:eastAsia="Arial" w:hAnsi="Arial"/>
          <w:i/>
          <w:iCs/>
          <w:sz w:val="24"/>
          <w:szCs w:val="24"/>
        </w:rPr>
        <w:t xml:space="preserve">Compile RNA-seq fold-change and p-values for each gene across cluster knockouts</w:t>
      </w:r>
    </w:p>
    <w:p>
      <w:pPr>
        <w:pStyle w:val="ListParagraph"/>
        <w:numPr>
          <w:ilvl w:val="0"/>
          <w:numId w:val="2"/>
        </w:numPr>
      </w:pPr>
      <w:r>
        <w:rPr>
          <w:rFonts w:ascii="Arial" w:cs="Arial" w:eastAsia="Arial" w:hAnsi="Arial"/>
          <w:i/>
          <w:iCs/>
          <w:sz w:val="24"/>
          <w:szCs w:val="24"/>
        </w:rPr>
        <w:t xml:space="preserve">Retrieve functional parameter changes associated with each gene knockout from Optopatch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Master gene list per cluster with baseline expression and functional data</w:t>
      </w:r>
    </w:p>
    <w:p>
      <w:pPr>
        <w:pStyle w:val="ListParagraph"/>
        <w:numPr>
          <w:ilvl w:val="0"/>
          <w:numId w:val="2"/>
        </w:numPr>
      </w:pPr>
      <w:r>
        <w:rPr>
          <w:rFonts w:ascii="Arial" w:cs="Arial" w:eastAsia="Arial" w:hAnsi="Arial"/>
          <w:sz w:val="24"/>
          <w:szCs w:val="24"/>
        </w:rPr>
        <w:t xml:space="preserve">Gene-phenotype association matrix (genes x functional parameters, effect sizes)</w:t>
      </w:r>
    </w:p>
    <w:p>
      <w:pPr>
        <w:pStyle w:val="ListParagraph"/>
        <w:numPr>
          <w:ilvl w:val="0"/>
          <w:numId w:val="2"/>
        </w:numPr>
      </w:pPr>
      <w:r>
        <w:rPr>
          <w:rFonts w:ascii="Arial" w:cs="Arial" w:eastAsia="Arial" w:hAnsi="Arial"/>
          <w:sz w:val="24"/>
          <w:szCs w:val="24"/>
        </w:rPr>
        <w:t xml:space="preserve">Compiled genetic constraint scores (gnomAD pLi, LOEUF) for all genes</w:t>
      </w:r>
    </w:p>
    <w:p>
      <w:pPr>
        <w:pStyle w:val="ListParagraph"/>
        <w:numPr>
          <w:ilvl w:val="0"/>
          <w:numId w:val="2"/>
        </w:numPr>
      </w:pPr>
      <w:r>
        <w:rPr>
          <w:rFonts w:ascii="Arial" w:cs="Arial" w:eastAsia="Arial" w:hAnsi="Arial"/>
          <w:sz w:val="24"/>
          <w:szCs w:val="24"/>
        </w:rPr>
        <w:t xml:space="preserve">Data completeness report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 data compilation files per cluster, metadata file</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Calculate druggability scores for all genes using computational tools and databases; assess tractability for small molecule and biologic targeting.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Gene lists per cluster</w:t>
      </w:r>
    </w:p>
    <w:p>
      <w:pPr>
        <w:pStyle w:val="ListParagraph"/>
        <w:numPr>
          <w:ilvl w:val="0"/>
          <w:numId w:val="2"/>
        </w:numPr>
      </w:pPr>
      <w:r>
        <w:rPr>
          <w:rFonts w:ascii="Arial" w:cs="Arial" w:eastAsia="Arial" w:hAnsi="Arial"/>
          <w:sz w:val="24"/>
          <w:szCs w:val="24"/>
        </w:rPr>
        <w:t xml:space="preserve">Protein sequence data</w:t>
      </w:r>
    </w:p>
    <w:p>
      <w:pPr>
        <w:pStyle w:val="ListParagraph"/>
        <w:numPr>
          <w:ilvl w:val="0"/>
          <w:numId w:val="2"/>
        </w:numPr>
      </w:pPr>
      <w:r>
        <w:rPr>
          <w:rFonts w:ascii="Arial" w:cs="Arial" w:eastAsia="Arial" w:hAnsi="Arial"/>
          <w:sz w:val="24"/>
          <w:szCs w:val="24"/>
        </w:rPr>
        <w:t xml:space="preserve">Known drug target information</w:t>
      </w:r>
    </w:p>
    <w:p>
      <w:pPr>
        <w:pStyle w:val="ListParagraph"/>
        <w:numPr>
          <w:ilvl w:val="0"/>
          <w:numId w:val="2"/>
        </w:numPr>
      </w:pPr>
      <w:r>
        <w:rPr>
          <w:rFonts w:ascii="Arial" w:cs="Arial" w:eastAsia="Arial" w:hAnsi="Arial"/>
          <w:sz w:val="24"/>
          <w:szCs w:val="24"/>
        </w:rPr>
        <w:t xml:space="preserve">Chemical accessibility assessments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Illumina Target Enabling Packages (TEP, druggability scoring)</w:t>
      </w:r>
    </w:p>
    <w:p>
      <w:pPr>
        <w:pStyle w:val="ListParagraph"/>
        <w:numPr>
          <w:ilvl w:val="0"/>
          <w:numId w:val="2"/>
        </w:numPr>
      </w:pPr>
      <w:r>
        <w:rPr>
          <w:rFonts w:ascii="Arial" w:cs="Arial" w:eastAsia="Arial" w:hAnsi="Arial"/>
          <w:sz w:val="24"/>
          <w:szCs w:val="24"/>
        </w:rPr>
        <w:t xml:space="preserve">ChEMBL (known drug target status)</w:t>
      </w:r>
    </w:p>
    <w:p>
      <w:pPr>
        <w:pStyle w:val="ListParagraph"/>
        <w:numPr>
          <w:ilvl w:val="0"/>
          <w:numId w:val="2"/>
        </w:numPr>
      </w:pPr>
      <w:r>
        <w:rPr>
          <w:rFonts w:ascii="Arial" w:cs="Arial" w:eastAsia="Arial" w:hAnsi="Arial"/>
          <w:sz w:val="24"/>
          <w:szCs w:val="24"/>
        </w:rPr>
        <w:t xml:space="preserve">Pocket Finder (ligand binding pocket prediction)</w:t>
      </w:r>
    </w:p>
    <w:p>
      <w:pPr>
        <w:pStyle w:val="ListParagraph"/>
        <w:numPr>
          <w:ilvl w:val="0"/>
          <w:numId w:val="2"/>
        </w:numPr>
      </w:pPr>
      <w:r>
        <w:rPr>
          <w:rFonts w:ascii="Arial" w:cs="Arial" w:eastAsia="Arial" w:hAnsi="Arial"/>
          <w:sz w:val="24"/>
          <w:szCs w:val="24"/>
        </w:rPr>
        <w:t xml:space="preserve">OpenDrug (druggability assessment)</w:t>
      </w:r>
    </w:p>
    <w:p>
      <w:pPr>
        <w:pStyle w:val="ListParagraph"/>
        <w:numPr>
          <w:ilvl w:val="0"/>
          <w:numId w:val="2"/>
        </w:numPr>
      </w:pPr>
      <w:r>
        <w:rPr>
          <w:rFonts w:ascii="Arial" w:cs="Arial" w:eastAsia="Arial" w:hAnsi="Arial"/>
          <w:sz w:val="24"/>
          <w:szCs w:val="24"/>
        </w:rPr>
        <w:t xml:space="preserve">STRING database (target-protein structure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Illumina TEP database for computed druggability scores (0-1 scale) for all genes</w:t>
      </w:r>
    </w:p>
    <w:p>
      <w:pPr>
        <w:pStyle w:val="ListParagraph"/>
        <w:numPr>
          <w:ilvl w:val="0"/>
          <w:numId w:val="2"/>
        </w:numPr>
      </w:pPr>
      <w:r>
        <w:rPr>
          <w:rFonts w:ascii="Arial" w:cs="Arial" w:eastAsia="Arial" w:hAnsi="Arial"/>
          <w:i/>
          <w:iCs/>
          <w:sz w:val="24"/>
          <w:szCs w:val="24"/>
        </w:rPr>
        <w:t xml:space="preserve">Assess whether genes have homologs with known crystal structures suitable for rational drug design</w:t>
      </w:r>
    </w:p>
    <w:p>
      <w:pPr>
        <w:pStyle w:val="ListParagraph"/>
        <w:numPr>
          <w:ilvl w:val="0"/>
          <w:numId w:val="2"/>
        </w:numPr>
      </w:pPr>
      <w:r>
        <w:rPr>
          <w:rFonts w:ascii="Arial" w:cs="Arial" w:eastAsia="Arial" w:hAnsi="Arial"/>
          <w:i/>
          <w:iCs/>
          <w:sz w:val="24"/>
          <w:szCs w:val="24"/>
        </w:rPr>
        <w:t xml:space="preserve">Determine whether genes are already targeted by approved drugs or compounds in development (positive indicator of tractability)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Druggability score for each gene (TEP score, 0-1 scale)</w:t>
      </w:r>
    </w:p>
    <w:p>
      <w:pPr>
        <w:pStyle w:val="ListParagraph"/>
        <w:numPr>
          <w:ilvl w:val="0"/>
          <w:numId w:val="2"/>
        </w:numPr>
      </w:pPr>
      <w:r>
        <w:rPr>
          <w:rFonts w:ascii="Arial" w:cs="Arial" w:eastAsia="Arial" w:hAnsi="Arial"/>
          <w:sz w:val="24"/>
          <w:szCs w:val="24"/>
        </w:rPr>
        <w:t xml:space="preserve">Ligand-binding pocket predictions and quality assessment</w:t>
      </w:r>
    </w:p>
    <w:p>
      <w:pPr>
        <w:pStyle w:val="ListParagraph"/>
        <w:numPr>
          <w:ilvl w:val="0"/>
          <w:numId w:val="2"/>
        </w:numPr>
      </w:pPr>
      <w:r>
        <w:rPr>
          <w:rFonts w:ascii="Arial" w:cs="Arial" w:eastAsia="Arial" w:hAnsi="Arial"/>
          <w:sz w:val="24"/>
          <w:szCs w:val="24"/>
        </w:rPr>
        <w:t xml:space="preserve">Known target status (already drugged, predicted druggable, challenging)</w:t>
      </w:r>
    </w:p>
    <w:p>
      <w:pPr>
        <w:pStyle w:val="ListParagraph"/>
        <w:numPr>
          <w:ilvl w:val="0"/>
          <w:numId w:val="2"/>
        </w:numPr>
      </w:pPr>
      <w:r>
        <w:rPr>
          <w:rFonts w:ascii="Arial" w:cs="Arial" w:eastAsia="Arial" w:hAnsi="Arial"/>
          <w:sz w:val="24"/>
          <w:szCs w:val="24"/>
        </w:rPr>
        <w:t xml:space="preserve">Structural information availability for rational design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Druggability scores TSV, protein structure database links, summary classification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pathway centrality for each gene within functional cluster networks; identify genes whose disruption impacts broader pathway function.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Gene lists and cluster networks</w:t>
      </w:r>
    </w:p>
    <w:p>
      <w:pPr>
        <w:pStyle w:val="ListParagraph"/>
        <w:numPr>
          <w:ilvl w:val="0"/>
          <w:numId w:val="2"/>
        </w:numPr>
      </w:pPr>
      <w:r>
        <w:rPr>
          <w:rFonts w:ascii="Arial" w:cs="Arial" w:eastAsia="Arial" w:hAnsi="Arial"/>
          <w:sz w:val="24"/>
          <w:szCs w:val="24"/>
        </w:rPr>
        <w:t xml:space="preserve">Protein-protein interaction data</w:t>
      </w:r>
    </w:p>
    <w:p>
      <w:pPr>
        <w:pStyle w:val="ListParagraph"/>
        <w:numPr>
          <w:ilvl w:val="0"/>
          <w:numId w:val="2"/>
        </w:numPr>
      </w:pPr>
      <w:r>
        <w:rPr>
          <w:rFonts w:ascii="Arial" w:cs="Arial" w:eastAsia="Arial" w:hAnsi="Arial"/>
          <w:sz w:val="24"/>
          <w:szCs w:val="24"/>
        </w:rPr>
        <w:t xml:space="preserve">Pathway membership information</w:t>
      </w:r>
    </w:p>
    <w:p>
      <w:pPr>
        <w:pStyle w:val="ListParagraph"/>
        <w:numPr>
          <w:ilvl w:val="0"/>
          <w:numId w:val="2"/>
        </w:numPr>
      </w:pPr>
      <w:r>
        <w:rPr>
          <w:rFonts w:ascii="Arial" w:cs="Arial" w:eastAsia="Arial" w:hAnsi="Arial"/>
          <w:sz w:val="24"/>
          <w:szCs w:val="24"/>
        </w:rPr>
        <w:t xml:space="preserve">Gene network topology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database (protein interactions)</w:t>
      </w:r>
    </w:p>
    <w:p>
      <w:pPr>
        <w:pStyle w:val="ListParagraph"/>
        <w:numPr>
          <w:ilvl w:val="0"/>
          <w:numId w:val="2"/>
        </w:numPr>
      </w:pPr>
      <w:r>
        <w:rPr>
          <w:rFonts w:ascii="Arial" w:cs="Arial" w:eastAsia="Arial" w:hAnsi="Arial"/>
          <w:sz w:val="24"/>
          <w:szCs w:val="24"/>
        </w:rPr>
        <w:t xml:space="preserve">Reactome Pathway Database (pathway membership)</w:t>
      </w:r>
    </w:p>
    <w:p>
      <w:pPr>
        <w:pStyle w:val="ListParagraph"/>
        <w:numPr>
          <w:ilvl w:val="0"/>
          <w:numId w:val="2"/>
        </w:numPr>
      </w:pPr>
      <w:r>
        <w:rPr>
          <w:rFonts w:ascii="Arial" w:cs="Arial" w:eastAsia="Arial" w:hAnsi="Arial"/>
          <w:sz w:val="24"/>
          <w:szCs w:val="24"/>
        </w:rPr>
        <w:t xml:space="preserve">igraph (network analysis)</w:t>
      </w:r>
    </w:p>
    <w:p>
      <w:pPr>
        <w:pStyle w:val="ListParagraph"/>
        <w:numPr>
          <w:ilvl w:val="0"/>
          <w:numId w:val="2"/>
        </w:numPr>
      </w:pPr>
      <w:r>
        <w:rPr>
          <w:rFonts w:ascii="Arial" w:cs="Arial" w:eastAsia="Arial" w:hAnsi="Arial"/>
          <w:sz w:val="24"/>
          <w:szCs w:val="24"/>
        </w:rPr>
        <w:t xml:space="preserve">KEGG pathways (pathway centrality metrics)</w:t>
      </w:r>
    </w:p>
    <w:p>
      <w:pPr>
        <w:pStyle w:val="ListParagraph"/>
        <w:numPr>
          <w:ilvl w:val="0"/>
          <w:numId w:val="2"/>
        </w:numPr>
      </w:pPr>
      <w:r>
        <w:rPr>
          <w:rFonts w:ascii="Arial" w:cs="Arial" w:eastAsia="Arial" w:hAnsi="Arial"/>
          <w:sz w:val="24"/>
          <w:szCs w:val="24"/>
        </w:rPr>
        <w:t xml:space="preserve">DAVID (pathway enrichment and centrality)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network centrality metrics (betweenness, eigenvector centrality, degree) within cluster-specific PPI networks</w:t>
      </w:r>
    </w:p>
    <w:p>
      <w:pPr>
        <w:pStyle w:val="ListParagraph"/>
        <w:numPr>
          <w:ilvl w:val="0"/>
          <w:numId w:val="2"/>
        </w:numPr>
      </w:pPr>
      <w:r>
        <w:rPr>
          <w:rFonts w:ascii="Arial" w:cs="Arial" w:eastAsia="Arial" w:hAnsi="Arial"/>
          <w:i/>
          <w:iCs/>
          <w:sz w:val="24"/>
          <w:szCs w:val="24"/>
        </w:rPr>
        <w:t xml:space="preserve">Assess whether genes are pathway hubs (high connectivity) vs. peripheral (few interactions)</w:t>
      </w:r>
    </w:p>
    <w:p>
      <w:pPr>
        <w:pStyle w:val="ListParagraph"/>
        <w:numPr>
          <w:ilvl w:val="0"/>
          <w:numId w:val="2"/>
        </w:numPr>
      </w:pPr>
      <w:r>
        <w:rPr>
          <w:rFonts w:ascii="Arial" w:cs="Arial" w:eastAsia="Arial" w:hAnsi="Arial"/>
          <w:i/>
          <w:iCs/>
          <w:sz w:val="24"/>
          <w:szCs w:val="24"/>
        </w:rPr>
        <w:t xml:space="preserve">Determine pathway significance (genes in well-characterized pathways vs. orphaned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Network centrality scores (betweenness, eigenvector centrality, degree ranking)</w:t>
      </w:r>
    </w:p>
    <w:p>
      <w:pPr>
        <w:pStyle w:val="ListParagraph"/>
        <w:numPr>
          <w:ilvl w:val="0"/>
          <w:numId w:val="2"/>
        </w:numPr>
      </w:pPr>
      <w:r>
        <w:rPr>
          <w:rFonts w:ascii="Arial" w:cs="Arial" w:eastAsia="Arial" w:hAnsi="Arial"/>
          <w:sz w:val="24"/>
          <w:szCs w:val="24"/>
        </w:rPr>
        <w:t xml:space="preserve">Pathway hub identification (central vs. peripheral genes within cluster network)</w:t>
      </w:r>
    </w:p>
    <w:p>
      <w:pPr>
        <w:pStyle w:val="ListParagraph"/>
        <w:numPr>
          <w:ilvl w:val="0"/>
          <w:numId w:val="2"/>
        </w:numPr>
      </w:pPr>
      <w:r>
        <w:rPr>
          <w:rFonts w:ascii="Arial" w:cs="Arial" w:eastAsia="Arial" w:hAnsi="Arial"/>
          <w:sz w:val="24"/>
          <w:szCs w:val="24"/>
        </w:rPr>
        <w:t xml:space="preserve">Pathway membership and centrality within broader synaptic/neural networks</w:t>
      </w:r>
    </w:p>
    <w:p>
      <w:pPr>
        <w:pStyle w:val="ListParagraph"/>
        <w:numPr>
          <w:ilvl w:val="0"/>
          <w:numId w:val="2"/>
        </w:numPr>
      </w:pPr>
      <w:r>
        <w:rPr>
          <w:rFonts w:ascii="Arial" w:cs="Arial" w:eastAsia="Arial" w:hAnsi="Arial"/>
          <w:sz w:val="24"/>
          <w:szCs w:val="24"/>
        </w:rPr>
        <w:t xml:space="preserve">Hub gene prioritization based on network topology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Centrality scores TSV, network visualization, pathway annotation table</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Quantify expression specificity for each gene within cluster context; identify genes whose dysregulation is specific to target cluster vs. affecting multiple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Expression changes across all clusters</w:t>
      </w:r>
    </w:p>
    <w:p>
      <w:pPr>
        <w:pStyle w:val="ListParagraph"/>
        <w:numPr>
          <w:ilvl w:val="0"/>
          <w:numId w:val="2"/>
        </w:numPr>
      </w:pPr>
      <w:r>
        <w:rPr>
          <w:rFonts w:ascii="Arial" w:cs="Arial" w:eastAsia="Arial" w:hAnsi="Arial"/>
          <w:sz w:val="24"/>
          <w:szCs w:val="24"/>
        </w:rPr>
        <w:t xml:space="preserve">DEG lists from each knockout</w:t>
      </w:r>
    </w:p>
    <w:p>
      <w:pPr>
        <w:pStyle w:val="ListParagraph"/>
        <w:numPr>
          <w:ilvl w:val="0"/>
          <w:numId w:val="2"/>
        </w:numPr>
      </w:pPr>
      <w:r>
        <w:rPr>
          <w:rFonts w:ascii="Arial" w:cs="Arial" w:eastAsia="Arial" w:hAnsi="Arial"/>
          <w:sz w:val="24"/>
          <w:szCs w:val="24"/>
        </w:rPr>
        <w:t xml:space="preserve">Tissue and cell-type expression information</w:t>
      </w:r>
    </w:p>
    <w:p>
      <w:pPr>
        <w:pStyle w:val="ListParagraph"/>
        <w:numPr>
          <w:ilvl w:val="0"/>
          <w:numId w:val="2"/>
        </w:numPr>
      </w:pPr>
      <w:r>
        <w:rPr>
          <w:rFonts w:ascii="Arial" w:cs="Arial" w:eastAsia="Arial" w:hAnsi="Arial"/>
          <w:sz w:val="24"/>
          <w:szCs w:val="24"/>
        </w:rPr>
        <w:t xml:space="preserve">Co-expression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Specificity index calculation (Jensen-Shannon divergence)</w:t>
      </w:r>
    </w:p>
    <w:p>
      <w:pPr>
        <w:pStyle w:val="ListParagraph"/>
        <w:numPr>
          <w:ilvl w:val="0"/>
          <w:numId w:val="2"/>
        </w:numPr>
      </w:pPr>
      <w:r>
        <w:rPr>
          <w:rFonts w:ascii="Arial" w:cs="Arial" w:eastAsia="Arial" w:hAnsi="Arial"/>
          <w:sz w:val="24"/>
          <w:szCs w:val="24"/>
        </w:rPr>
        <w:t xml:space="preserve">tau-statistic (expression specificity)</w:t>
      </w:r>
    </w:p>
    <w:p>
      <w:pPr>
        <w:pStyle w:val="ListParagraph"/>
        <w:numPr>
          <w:ilvl w:val="0"/>
          <w:numId w:val="2"/>
        </w:numPr>
      </w:pPr>
      <w:r>
        <w:rPr>
          <w:rFonts w:ascii="Arial" w:cs="Arial" w:eastAsia="Arial" w:hAnsi="Arial"/>
          <w:sz w:val="24"/>
          <w:szCs w:val="24"/>
        </w:rPr>
        <w:t xml:space="preserve">Human Protein Atlas (tissue/cell expression)</w:t>
      </w:r>
    </w:p>
    <w:p>
      <w:pPr>
        <w:pStyle w:val="ListParagraph"/>
        <w:numPr>
          <w:ilvl w:val="0"/>
          <w:numId w:val="2"/>
        </w:numPr>
      </w:pPr>
      <w:r>
        <w:rPr>
          <w:rFonts w:ascii="Arial" w:cs="Arial" w:eastAsia="Arial" w:hAnsi="Arial"/>
          <w:sz w:val="24"/>
          <w:szCs w:val="24"/>
        </w:rPr>
        <w:t xml:space="preserve">Genevestigator (expression across contexts)</w:t>
      </w:r>
    </w:p>
    <w:p>
      <w:pPr>
        <w:pStyle w:val="ListParagraph"/>
        <w:numPr>
          <w:ilvl w:val="0"/>
          <w:numId w:val="2"/>
        </w:numPr>
      </w:pPr>
      <w:r>
        <w:rPr>
          <w:rFonts w:ascii="Arial" w:cs="Arial" w:eastAsia="Arial" w:hAnsi="Arial"/>
          <w:sz w:val="24"/>
          <w:szCs w:val="24"/>
        </w:rPr>
        <w:t xml:space="preserve">GSEA (cluster-specific expression signature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specificity index (tau-statistic) for each gene measuring whether expression changes are specific to one cluster vs. shared across multiple clusters</w:t>
      </w:r>
    </w:p>
    <w:p>
      <w:pPr>
        <w:pStyle w:val="ListParagraph"/>
        <w:numPr>
          <w:ilvl w:val="0"/>
          <w:numId w:val="2"/>
        </w:numPr>
      </w:pPr>
      <w:r>
        <w:rPr>
          <w:rFonts w:ascii="Arial" w:cs="Arial" w:eastAsia="Arial" w:hAnsi="Arial"/>
          <w:i/>
          <w:iCs/>
          <w:sz w:val="24"/>
          <w:szCs w:val="24"/>
        </w:rPr>
        <w:t xml:space="preserve">Assess tissue/cell-type specificity using Human Protein Atlas to identify genes with restricted expression suitable for targeted intervention</w:t>
      </w:r>
    </w:p>
    <w:p>
      <w:pPr>
        <w:pStyle w:val="ListParagraph"/>
        <w:numPr>
          <w:ilvl w:val="0"/>
          <w:numId w:val="2"/>
        </w:numPr>
      </w:pPr>
      <w:r>
        <w:rPr>
          <w:rFonts w:ascii="Arial" w:cs="Arial" w:eastAsia="Arial" w:hAnsi="Arial"/>
          <w:i/>
          <w:iCs/>
          <w:sz w:val="24"/>
          <w:szCs w:val="24"/>
        </w:rPr>
        <w:t xml:space="preserve">Evaluate co-expression patterns to identify whether target genes are part of cluster-specific modules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Specificity index for each gene (0-1 scale, where 1 = perfectly specific)</w:t>
      </w:r>
    </w:p>
    <w:p>
      <w:pPr>
        <w:pStyle w:val="ListParagraph"/>
        <w:numPr>
          <w:ilvl w:val="0"/>
          <w:numId w:val="2"/>
        </w:numPr>
      </w:pPr>
      <w:r>
        <w:rPr>
          <w:rFonts w:ascii="Arial" w:cs="Arial" w:eastAsia="Arial" w:hAnsi="Arial"/>
          <w:sz w:val="24"/>
          <w:szCs w:val="24"/>
        </w:rPr>
        <w:t xml:space="preserve">Tissue/cell-type specificity assessment (CNS-specific vs. broad expression)</w:t>
      </w:r>
    </w:p>
    <w:p>
      <w:pPr>
        <w:pStyle w:val="ListParagraph"/>
        <w:numPr>
          <w:ilvl w:val="0"/>
          <w:numId w:val="2"/>
        </w:numPr>
      </w:pPr>
      <w:r>
        <w:rPr>
          <w:rFonts w:ascii="Arial" w:cs="Arial" w:eastAsia="Arial" w:hAnsi="Arial"/>
          <w:sz w:val="24"/>
          <w:szCs w:val="24"/>
        </w:rPr>
        <w:t xml:space="preserve">Co-expression module membership and specificity</w:t>
      </w:r>
    </w:p>
    <w:p>
      <w:pPr>
        <w:pStyle w:val="ListParagraph"/>
        <w:numPr>
          <w:ilvl w:val="0"/>
          <w:numId w:val="2"/>
        </w:numPr>
      </w:pPr>
      <w:r>
        <w:rPr>
          <w:rFonts w:ascii="Arial" w:cs="Arial" w:eastAsia="Arial" w:hAnsi="Arial"/>
          <w:sz w:val="24"/>
          <w:szCs w:val="24"/>
        </w:rPr>
        <w:t xml:space="preserve">Cluster-specific expression signature strength</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Specificity scores TSV, tissue expression heatmap, module assignment file</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genetic constraint and mutational tolerance for each target; prioritize genes where human genetic data suggest importance for nervous system function.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Gene constraint scores (gnomAD, LOEUF)</w:t>
      </w:r>
    </w:p>
    <w:p>
      <w:pPr>
        <w:pStyle w:val="ListParagraph"/>
        <w:numPr>
          <w:ilvl w:val="0"/>
          <w:numId w:val="2"/>
        </w:numPr>
      </w:pPr>
      <w:r>
        <w:rPr>
          <w:rFonts w:ascii="Arial" w:cs="Arial" w:eastAsia="Arial" w:hAnsi="Arial"/>
          <w:sz w:val="24"/>
          <w:szCs w:val="24"/>
        </w:rPr>
        <w:t xml:space="preserve">Disease-associated variant data (ClinVar)</w:t>
      </w:r>
    </w:p>
    <w:p>
      <w:pPr>
        <w:pStyle w:val="ListParagraph"/>
        <w:numPr>
          <w:ilvl w:val="0"/>
          <w:numId w:val="2"/>
        </w:numPr>
      </w:pPr>
      <w:r>
        <w:rPr>
          <w:rFonts w:ascii="Arial" w:cs="Arial" w:eastAsia="Arial" w:hAnsi="Arial"/>
          <w:sz w:val="24"/>
          <w:szCs w:val="24"/>
        </w:rPr>
        <w:t xml:space="preserve">Population genetic data</w:t>
      </w:r>
    </w:p>
    <w:p>
      <w:pPr>
        <w:pStyle w:val="ListParagraph"/>
        <w:numPr>
          <w:ilvl w:val="0"/>
          <w:numId w:val="2"/>
        </w:numPr>
      </w:pPr>
      <w:r>
        <w:rPr>
          <w:rFonts w:ascii="Arial" w:cs="Arial" w:eastAsia="Arial" w:hAnsi="Arial"/>
          <w:sz w:val="24"/>
          <w:szCs w:val="24"/>
        </w:rPr>
        <w:t xml:space="preserve">De novo mutation data from neurodevelopmental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gnomAD (constraint metrics: pLi, LOEUF)</w:t>
      </w:r>
    </w:p>
    <w:p>
      <w:pPr>
        <w:pStyle w:val="ListParagraph"/>
        <w:numPr>
          <w:ilvl w:val="0"/>
          <w:numId w:val="2"/>
        </w:numPr>
      </w:pPr>
      <w:r>
        <w:rPr>
          <w:rFonts w:ascii="Arial" w:cs="Arial" w:eastAsia="Arial" w:hAnsi="Arial"/>
          <w:sz w:val="24"/>
          <w:szCs w:val="24"/>
        </w:rPr>
        <w:t xml:space="preserve">ClinVar (disease variant information)</w:t>
      </w:r>
    </w:p>
    <w:p>
      <w:pPr>
        <w:pStyle w:val="ListParagraph"/>
        <w:numPr>
          <w:ilvl w:val="0"/>
          <w:numId w:val="2"/>
        </w:numPr>
      </w:pPr>
      <w:r>
        <w:rPr>
          <w:rFonts w:ascii="Arial" w:cs="Arial" w:eastAsia="Arial" w:hAnsi="Arial"/>
          <w:sz w:val="24"/>
          <w:szCs w:val="24"/>
        </w:rPr>
        <w:t xml:space="preserve">DBNsfP (deleterious prediction)</w:t>
      </w:r>
    </w:p>
    <w:p>
      <w:pPr>
        <w:pStyle w:val="ListParagraph"/>
        <w:numPr>
          <w:ilvl w:val="0"/>
          <w:numId w:val="2"/>
        </w:numPr>
      </w:pPr>
      <w:r>
        <w:rPr>
          <w:rFonts w:ascii="Arial" w:cs="Arial" w:eastAsia="Arial" w:hAnsi="Arial"/>
          <w:sz w:val="24"/>
          <w:szCs w:val="24"/>
        </w:rPr>
        <w:t xml:space="preserve">PubMed (literature on gene constraint)</w:t>
      </w:r>
    </w:p>
    <w:p>
      <w:pPr>
        <w:pStyle w:val="ListParagraph"/>
        <w:numPr>
          <w:ilvl w:val="0"/>
          <w:numId w:val="2"/>
        </w:numPr>
      </w:pPr>
      <w:r>
        <w:rPr>
          <w:rFonts w:ascii="Arial" w:cs="Arial" w:eastAsia="Arial" w:hAnsi="Arial"/>
          <w:sz w:val="24"/>
          <w:szCs w:val="24"/>
        </w:rPr>
        <w:t xml:space="preserve">Denovo-db (de novo mutations in disease)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Obtain gnomAD constraint metrics (predicted loss-of-function intolerance LOEUF, pLi) for each gene indicating tolerance to variation</w:t>
      </w:r>
    </w:p>
    <w:p>
      <w:pPr>
        <w:pStyle w:val="ListParagraph"/>
        <w:numPr>
          <w:ilvl w:val="0"/>
          <w:numId w:val="2"/>
        </w:numPr>
      </w:pPr>
      <w:r>
        <w:rPr>
          <w:rFonts w:ascii="Arial" w:cs="Arial" w:eastAsia="Arial" w:hAnsi="Arial"/>
          <w:i/>
          <w:iCs/>
          <w:sz w:val="24"/>
          <w:szCs w:val="24"/>
        </w:rPr>
        <w:t xml:space="preserve">Check ClinVar for disease-associated variants in targets, particularly nervous system disorders and DEE-related conditions</w:t>
      </w:r>
    </w:p>
    <w:p>
      <w:pPr>
        <w:pStyle w:val="ListParagraph"/>
        <w:numPr>
          <w:ilvl w:val="0"/>
          <w:numId w:val="2"/>
        </w:numPr>
      </w:pPr>
      <w:r>
        <w:rPr>
          <w:rFonts w:ascii="Arial" w:cs="Arial" w:eastAsia="Arial" w:hAnsi="Arial"/>
          <w:i/>
          <w:iCs/>
          <w:sz w:val="24"/>
          <w:szCs w:val="24"/>
        </w:rPr>
        <w:t xml:space="preserve">Query denovo-db for de novo mutations in patient cohorts, indicating genes intolerant to disruption in development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Constraint metrics (LOEUF, pLi scores) for all genes</w:t>
      </w:r>
    </w:p>
    <w:p>
      <w:pPr>
        <w:pStyle w:val="ListParagraph"/>
        <w:numPr>
          <w:ilvl w:val="0"/>
          <w:numId w:val="2"/>
        </w:numPr>
      </w:pPr>
      <w:r>
        <w:rPr>
          <w:rFonts w:ascii="Arial" w:cs="Arial" w:eastAsia="Arial" w:hAnsi="Arial"/>
          <w:sz w:val="24"/>
          <w:szCs w:val="24"/>
        </w:rPr>
        <w:t xml:space="preserve">Disease variant enrichment (number of ClinVar variants per gene)</w:t>
      </w:r>
    </w:p>
    <w:p>
      <w:pPr>
        <w:pStyle w:val="ListParagraph"/>
        <w:numPr>
          <w:ilvl w:val="0"/>
          <w:numId w:val="2"/>
        </w:numPr>
      </w:pPr>
      <w:r>
        <w:rPr>
          <w:rFonts w:ascii="Arial" w:cs="Arial" w:eastAsia="Arial" w:hAnsi="Arial"/>
          <w:sz w:val="24"/>
          <w:szCs w:val="24"/>
        </w:rPr>
        <w:t xml:space="preserve">De novo mutation frequency in neurodevelopmental disorders</w:t>
      </w:r>
    </w:p>
    <w:p>
      <w:pPr>
        <w:pStyle w:val="ListParagraph"/>
        <w:numPr>
          <w:ilvl w:val="0"/>
          <w:numId w:val="2"/>
        </w:numPr>
      </w:pPr>
      <w:r>
        <w:rPr>
          <w:rFonts w:ascii="Arial" w:cs="Arial" w:eastAsia="Arial" w:hAnsi="Arial"/>
          <w:sz w:val="24"/>
          <w:szCs w:val="24"/>
        </w:rPr>
        <w:t xml:space="preserve">Genetic constraint prioritization score (genes with high constraint ranked higher)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Constraint scores TSV, disease variant summary, de novo mutation analysis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all scoring modalities using multi-criteria ranking approach; generate prioritized target list with rationale and evidence transparency for each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Druggability scores</w:t>
      </w:r>
    </w:p>
    <w:p>
      <w:pPr>
        <w:pStyle w:val="ListParagraph"/>
        <w:numPr>
          <w:ilvl w:val="0"/>
          <w:numId w:val="2"/>
        </w:numPr>
      </w:pPr>
      <w:r>
        <w:rPr>
          <w:rFonts w:ascii="Arial" w:cs="Arial" w:eastAsia="Arial" w:hAnsi="Arial"/>
          <w:sz w:val="24"/>
          <w:szCs w:val="24"/>
        </w:rPr>
        <w:t xml:space="preserve">Centrality scores</w:t>
      </w:r>
    </w:p>
    <w:p>
      <w:pPr>
        <w:pStyle w:val="ListParagraph"/>
        <w:numPr>
          <w:ilvl w:val="0"/>
          <w:numId w:val="2"/>
        </w:numPr>
      </w:pPr>
      <w:r>
        <w:rPr>
          <w:rFonts w:ascii="Arial" w:cs="Arial" w:eastAsia="Arial" w:hAnsi="Arial"/>
          <w:sz w:val="24"/>
          <w:szCs w:val="24"/>
        </w:rPr>
        <w:t xml:space="preserve">Specificity scores</w:t>
      </w:r>
    </w:p>
    <w:p>
      <w:pPr>
        <w:pStyle w:val="ListParagraph"/>
        <w:numPr>
          <w:ilvl w:val="0"/>
          <w:numId w:val="2"/>
        </w:numPr>
      </w:pPr>
      <w:r>
        <w:rPr>
          <w:rFonts w:ascii="Arial" w:cs="Arial" w:eastAsia="Arial" w:hAnsi="Arial"/>
          <w:sz w:val="24"/>
          <w:szCs w:val="24"/>
        </w:rPr>
        <w:t xml:space="preserve">Genetic constraint scores</w:t>
      </w:r>
    </w:p>
    <w:p>
      <w:pPr>
        <w:pStyle w:val="ListParagraph"/>
        <w:numPr>
          <w:ilvl w:val="0"/>
          <w:numId w:val="2"/>
        </w:numPr>
      </w:pPr>
      <w:r>
        <w:rPr>
          <w:rFonts w:ascii="Arial" w:cs="Arial" w:eastAsia="Arial" w:hAnsi="Arial"/>
          <w:sz w:val="24"/>
          <w:szCs w:val="24"/>
        </w:rPr>
        <w:t xml:space="preserve">Expression/phenotype effect sizes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rank() R function (multi-criteria ranking)</w:t>
      </w:r>
    </w:p>
    <w:p>
      <w:pPr>
        <w:pStyle w:val="ListParagraph"/>
        <w:numPr>
          <w:ilvl w:val="0"/>
          <w:numId w:val="2"/>
        </w:numPr>
      </w:pPr>
      <w:r>
        <w:rPr>
          <w:rFonts w:ascii="Arial" w:cs="Arial" w:eastAsia="Arial" w:hAnsi="Arial"/>
          <w:sz w:val="24"/>
          <w:szCs w:val="24"/>
        </w:rPr>
        <w:t xml:space="preserve">weights assignment algorithm</w:t>
      </w:r>
    </w:p>
    <w:p>
      <w:pPr>
        <w:pStyle w:val="ListParagraph"/>
        <w:numPr>
          <w:ilvl w:val="0"/>
          <w:numId w:val="2"/>
        </w:numPr>
      </w:pPr>
      <w:r>
        <w:rPr>
          <w:rFonts w:ascii="Arial" w:cs="Arial" w:eastAsia="Arial" w:hAnsi="Arial"/>
          <w:sz w:val="24"/>
          <w:szCs w:val="24"/>
        </w:rPr>
        <w:t xml:space="preserve">dplyr (data aggregation)</w:t>
      </w:r>
    </w:p>
    <w:p>
      <w:pPr>
        <w:pStyle w:val="ListParagraph"/>
        <w:numPr>
          <w:ilvl w:val="0"/>
          <w:numId w:val="2"/>
        </w:numPr>
      </w:pPr>
      <w:r>
        <w:rPr>
          <w:rFonts w:ascii="Arial" w:cs="Arial" w:eastAsia="Arial" w:hAnsi="Arial"/>
          <w:sz w:val="24"/>
          <w:szCs w:val="24"/>
        </w:rPr>
        <w:t xml:space="preserve">ggplot2 (visualization of ranking components)</w:t>
      </w:r>
    </w:p>
    <w:p>
      <w:pPr>
        <w:pStyle w:val="ListParagraph"/>
        <w:numPr>
          <w:ilvl w:val="0"/>
          <w:numId w:val="2"/>
        </w:numPr>
      </w:pPr>
      <w:r>
        <w:rPr>
          <w:rFonts w:ascii="Arial" w:cs="Arial" w:eastAsia="Arial" w:hAnsi="Arial"/>
          <w:sz w:val="24"/>
          <w:szCs w:val="24"/>
        </w:rPr>
        <w:t xml:space="preserve">ComplexHeatmap (integrated scoring heatmaps)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Normalize all scores to 0-1 scale for fair integration (druggability, centrality, specificity, constraint)</w:t>
      </w:r>
    </w:p>
    <w:p>
      <w:pPr>
        <w:pStyle w:val="ListParagraph"/>
        <w:numPr>
          <w:ilvl w:val="0"/>
          <w:numId w:val="2"/>
        </w:numPr>
      </w:pPr>
      <w:r>
        <w:rPr>
          <w:rFonts w:ascii="Arial" w:cs="Arial" w:eastAsia="Arial" w:hAnsi="Arial"/>
          <w:i/>
          <w:iCs/>
          <w:sz w:val="24"/>
          <w:szCs w:val="24"/>
        </w:rPr>
        <w:t xml:space="preserve">Assign weights to each criterion based on importance for drug target prioritization (suggested: druggability 0.25, centrality 0.25, specificity 0.2, constraint 0.15, phenotype effect 0.15)</w:t>
      </w:r>
    </w:p>
    <w:p>
      <w:pPr>
        <w:pStyle w:val="ListParagraph"/>
        <w:numPr>
          <w:ilvl w:val="0"/>
          <w:numId w:val="2"/>
        </w:numPr>
      </w:pPr>
      <w:r>
        <w:rPr>
          <w:rFonts w:ascii="Arial" w:cs="Arial" w:eastAsia="Arial" w:hAnsi="Arial"/>
          <w:i/>
          <w:iCs/>
          <w:sz w:val="24"/>
          <w:szCs w:val="24"/>
        </w:rPr>
        <w:t xml:space="preserve">Calculate integrated ranking score as weighted sum and rank genes 1-10 per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Normalized and weighted scores for each gene (all five modalities)</w:t>
      </w:r>
    </w:p>
    <w:p>
      <w:pPr>
        <w:pStyle w:val="ListParagraph"/>
        <w:numPr>
          <w:ilvl w:val="0"/>
          <w:numId w:val="2"/>
        </w:numPr>
      </w:pPr>
      <w:r>
        <w:rPr>
          <w:rFonts w:ascii="Arial" w:cs="Arial" w:eastAsia="Arial" w:hAnsi="Arial"/>
          <w:sz w:val="24"/>
          <w:szCs w:val="24"/>
        </w:rPr>
        <w:t xml:space="preserve">Integrated ranking score (weighted multi-criteria rank)</w:t>
      </w:r>
    </w:p>
    <w:p>
      <w:pPr>
        <w:pStyle w:val="ListParagraph"/>
        <w:numPr>
          <w:ilvl w:val="0"/>
          <w:numId w:val="2"/>
        </w:numPr>
      </w:pPr>
      <w:r>
        <w:rPr>
          <w:rFonts w:ascii="Arial" w:cs="Arial" w:eastAsia="Arial" w:hAnsi="Arial"/>
          <w:sz w:val="24"/>
          <w:szCs w:val="24"/>
        </w:rPr>
        <w:t xml:space="preserve">Top 10 prioritized targets per cluster with ranking details</w:t>
      </w:r>
    </w:p>
    <w:p>
      <w:pPr>
        <w:pStyle w:val="ListParagraph"/>
        <w:numPr>
          <w:ilvl w:val="0"/>
          <w:numId w:val="2"/>
        </w:numPr>
      </w:pPr>
      <w:r>
        <w:rPr>
          <w:rFonts w:ascii="Arial" w:cs="Arial" w:eastAsia="Arial" w:hAnsi="Arial"/>
          <w:sz w:val="24"/>
          <w:szCs w:val="24"/>
        </w:rPr>
        <w:t xml:space="preserve">Justification for each top target (which criteria drove ranking)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Ranking scores matrix, top 10 target list per cluster with evidence, scoring transparency document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Illumina TEP/OpenDrug: Computational druggability and tractability scoring (0-1 scales)</w:t>
      </w:r>
    </w:p>
    <w:p>
      <w:pPr>
        <w:pStyle w:val="ListParagraph"/>
        <w:numPr>
          <w:ilvl w:val="0"/>
          <w:numId w:val="2"/>
        </w:numPr>
      </w:pPr>
      <w:r>
        <w:rPr>
          <w:rFonts w:ascii="Arial" w:cs="Arial" w:eastAsia="Arial" w:hAnsi="Arial"/>
          <w:sz w:val="24"/>
          <w:szCs w:val="24"/>
        </w:rPr>
        <w:t xml:space="preserve">ChEMBL: Known drug target status and existing ligand information</w:t>
      </w:r>
    </w:p>
    <w:p>
      <w:pPr>
        <w:pStyle w:val="ListParagraph"/>
        <w:numPr>
          <w:ilvl w:val="0"/>
          <w:numId w:val="2"/>
        </w:numPr>
      </w:pPr>
      <w:r>
        <w:rPr>
          <w:rFonts w:ascii="Arial" w:cs="Arial" w:eastAsia="Arial" w:hAnsi="Arial"/>
          <w:sz w:val="24"/>
          <w:szCs w:val="24"/>
        </w:rPr>
        <w:t xml:space="preserve">Pocket Finder: Ligand binding pocket prediction for small-molecule druggability assessment</w:t>
      </w:r>
    </w:p>
    <w:p>
      <w:pPr>
        <w:pStyle w:val="ListParagraph"/>
        <w:numPr>
          <w:ilvl w:val="0"/>
          <w:numId w:val="2"/>
        </w:numPr>
      </w:pPr>
      <w:r>
        <w:rPr>
          <w:rFonts w:ascii="Arial" w:cs="Arial" w:eastAsia="Arial" w:hAnsi="Arial"/>
          <w:sz w:val="24"/>
          <w:szCs w:val="24"/>
        </w:rPr>
        <w:t xml:space="preserve">STRING database: Protein-protein interaction networks for centrality analysis</w:t>
      </w:r>
    </w:p>
    <w:p>
      <w:pPr>
        <w:pStyle w:val="ListParagraph"/>
        <w:numPr>
          <w:ilvl w:val="0"/>
          <w:numId w:val="2"/>
        </w:numPr>
      </w:pPr>
      <w:r>
        <w:rPr>
          <w:rFonts w:ascii="Arial" w:cs="Arial" w:eastAsia="Arial" w:hAnsi="Arial"/>
          <w:sz w:val="24"/>
          <w:szCs w:val="24"/>
        </w:rPr>
        <w:t xml:space="preserve">Reactome/KEGG: Pathway membership and pathway-level centrality metrics</w:t>
      </w:r>
    </w:p>
    <w:p>
      <w:pPr>
        <w:pStyle w:val="ListParagraph"/>
        <w:numPr>
          <w:ilvl w:val="0"/>
          <w:numId w:val="2"/>
        </w:numPr>
      </w:pPr>
      <w:r>
        <w:rPr>
          <w:rFonts w:ascii="Arial" w:cs="Arial" w:eastAsia="Arial" w:hAnsi="Arial"/>
          <w:sz w:val="24"/>
          <w:szCs w:val="24"/>
        </w:rPr>
        <w:t xml:space="preserve">igraph: Network analysis including betweenness, eigenvector, and degree centrality</w:t>
      </w:r>
    </w:p>
    <w:p>
      <w:pPr>
        <w:pStyle w:val="ListParagraph"/>
        <w:numPr>
          <w:ilvl w:val="0"/>
          <w:numId w:val="2"/>
        </w:numPr>
      </w:pPr>
      <w:r>
        <w:rPr>
          <w:rFonts w:ascii="Arial" w:cs="Arial" w:eastAsia="Arial" w:hAnsi="Arial"/>
          <w:sz w:val="24"/>
          <w:szCs w:val="24"/>
        </w:rPr>
        <w:t xml:space="preserve">Human Protein Atlas: Tissue and cell-type specific expression patterns</w:t>
      </w:r>
    </w:p>
    <w:p>
      <w:pPr>
        <w:pStyle w:val="ListParagraph"/>
        <w:numPr>
          <w:ilvl w:val="0"/>
          <w:numId w:val="2"/>
        </w:numPr>
      </w:pPr>
      <w:r>
        <w:rPr>
          <w:rFonts w:ascii="Arial" w:cs="Arial" w:eastAsia="Arial" w:hAnsi="Arial"/>
          <w:sz w:val="24"/>
          <w:szCs w:val="24"/>
        </w:rPr>
        <w:t xml:space="preserve">gnomAD: Genetic constraint metrics (LOEUF, pLi) measuring mutational tolerance</w:t>
      </w:r>
    </w:p>
    <w:p>
      <w:pPr>
        <w:pStyle w:val="ListParagraph"/>
        <w:numPr>
          <w:ilvl w:val="0"/>
          <w:numId w:val="2"/>
        </w:numPr>
      </w:pPr>
      <w:r>
        <w:rPr>
          <w:rFonts w:ascii="Arial" w:cs="Arial" w:eastAsia="Arial" w:hAnsi="Arial"/>
          <w:sz w:val="24"/>
          <w:szCs w:val="24"/>
        </w:rPr>
        <w:t xml:space="preserve">ClinVar: Disease-associated variant data for constraint validation</w:t>
      </w:r>
    </w:p>
    <w:p>
      <w:pPr>
        <w:pStyle w:val="ListParagraph"/>
        <w:numPr>
          <w:ilvl w:val="0"/>
          <w:numId w:val="2"/>
        </w:numPr>
      </w:pPr>
      <w:r>
        <w:rPr>
          <w:rFonts w:ascii="Arial" w:cs="Arial" w:eastAsia="Arial" w:hAnsi="Arial"/>
          <w:sz w:val="24"/>
          <w:szCs w:val="24"/>
        </w:rPr>
        <w:t xml:space="preserve">Denovo-db: De novo mutation frequency in neurodevelopmental disorders</w:t>
      </w:r>
    </w:p>
    <w:p>
      <w:pPr>
        <w:pStyle w:val="ListParagraph"/>
        <w:numPr>
          <w:ilvl w:val="0"/>
          <w:numId w:val="2"/>
        </w:numPr>
      </w:pPr>
      <w:r>
        <w:rPr>
          <w:rFonts w:ascii="Arial" w:cs="Arial" w:eastAsia="Arial" w:hAnsi="Arial"/>
          <w:sz w:val="24"/>
          <w:szCs w:val="24"/>
        </w:rPr>
        <w:t xml:space="preserve">ComplexHeatmap: Integrated visualization of multi-dimensional ranking scores</w:t>
      </w:r>
    </w:p>
    <w:p>
      <w:pPr>
        <w:pStyle w:val="ListParagraph"/>
        <w:numPr>
          <w:ilvl w:val="0"/>
          <w:numId w:val="2"/>
        </w:numPr>
      </w:pPr>
      <w:r>
        <w:rPr>
          <w:rFonts w:ascii="Arial" w:cs="Arial" w:eastAsia="Arial" w:hAnsi="Arial"/>
          <w:sz w:val="24"/>
          <w:szCs w:val="24"/>
        </w:rPr>
        <w:t xml:space="preserve">ggplot2/plotly: Publication-quality visualization of prioritization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2026-03-25T17:30:54.908Z</dcterms:created>
  <dcterms:modified xsi:type="dcterms:W3CDTF">2026-03-25T17:30:54.908Z</dcterms:modified>
</cp:coreProperties>
</file>

<file path=docProps/custom.xml><?xml version="1.0" encoding="utf-8"?>
<Properties xmlns="http://schemas.openxmlformats.org/officeDocument/2006/custom-properties" xmlns:vt="http://schemas.openxmlformats.org/officeDocument/2006/docPropsVTypes"/>
</file>