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#051: ASO Therapeutic Feasibility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From the Angelini data, identify genes within each functional cluster that are targetable by antisense oligonucleotides (ASOs) and evaluate the feasibility of ASO-based therapeutic approaches based on gene structure, brain expression, and precedent ASO therapies for neurological diseases.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evaluate which genes identified in the Angelini functional clusters represent viable targets for antisense oligonucleotide (ASO) therapeutics by assessing gene structure, CNS expression patterns, and validating against known ASO therapeutic precedents.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integration of genomic data, therapeutic design principles, and translational precedent analysis across multiple data sources.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and retrieve all genes within Angelini functional clusters and establish baseline sequence/structural information.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functional cluster gene assignments and pathway annotations</w:t>
      </w:r>
    </w:p>
    <w:p>
      <w:pPr>
        <w:pStyle w:val="ListParagraph"/>
        <w:numPr>
          <w:ilvl w:val="0"/>
          <w:numId w:val="2"/>
        </w:numPr>
      </w:pPr>
      <w:r>
        <w:rPr>
          <w:rFonts w:ascii="Arial" w:cs="Arial" w:eastAsia="Arial" w:hAnsi="Arial"/>
          <w:sz w:val="24"/>
          <w:szCs w:val="24"/>
        </w:rPr>
        <w:t xml:space="preserve">Gene sequence databases (Ensembl, NCBI RefSeq) for structural parameters</w:t>
      </w:r>
    </w:p>
    <w:p>
      <w:pPr>
        <w:pStyle w:val="ListParagraph"/>
        <w:numPr>
          <w:ilvl w:val="0"/>
          <w:numId w:val="2"/>
        </w:numPr>
      </w:pPr>
      <w:r>
        <w:rPr>
          <w:rFonts w:ascii="Arial" w:cs="Arial" w:eastAsia="Arial" w:hAnsi="Arial"/>
          <w:sz w:val="24"/>
          <w:szCs w:val="24"/>
        </w:rPr>
        <w:t xml:space="preserve">Neurological disease gene lists and therapeutic target databases</w:t>
      </w:r>
    </w:p>
    <w:p>
      <w:pPr>
        <w:pStyle w:val="ListParagraph"/>
        <w:numPr>
          <w:ilvl w:val="0"/>
          <w:numId w:val="2"/>
        </w:numPr>
      </w:pPr>
      <w:r>
        <w:rPr>
          <w:rFonts w:ascii="Arial" w:cs="Arial" w:eastAsia="Arial" w:hAnsi="Arial"/>
          <w:sz w:val="24"/>
          <w:szCs w:val="24"/>
        </w:rPr>
        <w:t xml:space="preserve">RNA secondary structure prediction tools and databases</w:t>
      </w:r>
    </w:p>
    <w:p>
      <w:pPr>
        <w:pStyle w:val="ListParagraph"/>
        <w:numPr>
          <w:ilvl w:val="0"/>
          <w:numId w:val="2"/>
        </w:numPr>
      </w:pPr>
      <w:r>
        <w:rPr>
          <w:rFonts w:ascii="Arial" w:cs="Arial" w:eastAsia="Arial" w:hAnsi="Arial"/>
          <w:sz w:val="24"/>
          <w:szCs w:val="24"/>
        </w:rPr>
        <w:t xml:space="preserve">Historical ASO target selection criteria and design rules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Ensembl Genome Browser for gene structure and annotation</w:t>
      </w:r>
    </w:p>
    <w:p>
      <w:pPr>
        <w:pStyle w:val="ListParagraph"/>
        <w:numPr>
          <w:ilvl w:val="0"/>
          <w:numId w:val="2"/>
        </w:numPr>
      </w:pPr>
      <w:r>
        <w:rPr>
          <w:rFonts w:ascii="Arial" w:cs="Arial" w:eastAsia="Arial" w:hAnsi="Arial"/>
          <w:sz w:val="24"/>
          <w:szCs w:val="24"/>
        </w:rPr>
        <w:t xml:space="preserve">NCBI Gene database for sequence retrieval and structural features</w:t>
      </w:r>
    </w:p>
    <w:p>
      <w:pPr>
        <w:pStyle w:val="ListParagraph"/>
        <w:numPr>
          <w:ilvl w:val="0"/>
          <w:numId w:val="2"/>
        </w:numPr>
      </w:pPr>
      <w:r>
        <w:rPr>
          <w:rFonts w:ascii="Arial" w:cs="Arial" w:eastAsia="Arial" w:hAnsi="Arial"/>
          <w:sz w:val="24"/>
          <w:szCs w:val="24"/>
        </w:rPr>
        <w:t xml:space="preserve">RNAfold and mfold for RNA secondary structure prediction</w:t>
      </w:r>
    </w:p>
    <w:p>
      <w:pPr>
        <w:pStyle w:val="ListParagraph"/>
        <w:numPr>
          <w:ilvl w:val="0"/>
          <w:numId w:val="2"/>
        </w:numPr>
      </w:pPr>
      <w:r>
        <w:rPr>
          <w:rFonts w:ascii="Arial" w:cs="Arial" w:eastAsia="Arial" w:hAnsi="Arial"/>
          <w:sz w:val="24"/>
          <w:szCs w:val="24"/>
        </w:rPr>
        <w:t xml:space="preserve">GenBank and RefSeq for transcript variant analysis</w:t>
      </w:r>
    </w:p>
    <w:p>
      <w:pPr>
        <w:pStyle w:val="ListParagraph"/>
        <w:numPr>
          <w:ilvl w:val="0"/>
          <w:numId w:val="2"/>
        </w:numPr>
      </w:pPr>
      <w:r>
        <w:rPr>
          <w:rFonts w:ascii="Arial" w:cs="Arial" w:eastAsia="Arial" w:hAnsi="Arial"/>
          <w:sz w:val="24"/>
          <w:szCs w:val="24"/>
        </w:rPr>
        <w:t xml:space="preserve">Custom gene coordinate mapping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genes in each Angelini cluster have optimal sequence characteristics for ASO targeting (length, accessibility, off-target risk)?</w:t>
      </w:r>
    </w:p>
    <w:p>
      <w:pPr>
        <w:pStyle w:val="ListParagraph"/>
        <w:numPr>
          <w:ilvl w:val="0"/>
          <w:numId w:val="2"/>
        </w:numPr>
      </w:pPr>
      <w:r>
        <w:rPr>
          <w:rFonts w:ascii="Arial" w:cs="Arial" w:eastAsia="Arial" w:hAnsi="Arial"/>
          <w:i/>
          <w:iCs/>
          <w:sz w:val="24"/>
          <w:szCs w:val="24"/>
        </w:rPr>
        <w:t xml:space="preserve">Retrieve transcript structure information and identify druggable exons for therapeutic intervention.</w:t>
      </w:r>
    </w:p>
    <w:p>
      <w:pPr>
        <w:pStyle w:val="ListParagraph"/>
        <w:numPr>
          <w:ilvl w:val="0"/>
          <w:numId w:val="2"/>
        </w:numPr>
      </w:pPr>
      <w:r>
        <w:rPr>
          <w:rFonts w:ascii="Arial" w:cs="Arial" w:eastAsia="Arial" w:hAnsi="Arial"/>
          <w:i/>
          <w:iCs/>
          <w:sz w:val="24"/>
          <w:szCs w:val="24"/>
        </w:rPr>
        <w:t xml:space="preserve">Cross-reference genes with historical ASO design success factors.</w:t>
      </w:r>
    </w:p>
    <w:p>
      <w:pPr>
        <w:pStyle w:val="ListParagraph"/>
        <w:numPr>
          <w:ilvl w:val="0"/>
          <w:numId w:val="2"/>
        </w:numPr>
      </w:pPr>
      <w:r>
        <w:rPr>
          <w:rFonts w:ascii="Arial" w:cs="Arial" w:eastAsia="Arial" w:hAnsi="Arial"/>
          <w:i/>
          <w:iCs/>
          <w:sz w:val="24"/>
          <w:szCs w:val="24"/>
        </w:rPr>
        <w:t xml:space="preserve">Identify potential ASO design constraints based on homology searches.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Structural feasibility scores for each gene (0-100 scale)</w:t>
      </w:r>
    </w:p>
    <w:p>
      <w:pPr>
        <w:pStyle w:val="ListParagraph"/>
        <w:numPr>
          <w:ilvl w:val="0"/>
          <w:numId w:val="2"/>
        </w:numPr>
      </w:pPr>
      <w:r>
        <w:rPr>
          <w:rFonts w:ascii="Arial" w:cs="Arial" w:eastAsia="Arial" w:hAnsi="Arial"/>
          <w:sz w:val="24"/>
          <w:szCs w:val="24"/>
        </w:rPr>
        <w:t xml:space="preserve">Transcript variant impact analysis matrices</w:t>
      </w:r>
    </w:p>
    <w:p>
      <w:pPr>
        <w:pStyle w:val="ListParagraph"/>
        <w:numPr>
          <w:ilvl w:val="0"/>
          <w:numId w:val="2"/>
        </w:numPr>
      </w:pPr>
      <w:r>
        <w:rPr>
          <w:rFonts w:ascii="Arial" w:cs="Arial" w:eastAsia="Arial" w:hAnsi="Arial"/>
          <w:sz w:val="24"/>
          <w:szCs w:val="24"/>
        </w:rPr>
        <w:t xml:space="preserve">Off-target prediction reports per gene</w:t>
      </w:r>
    </w:p>
    <w:p>
      <w:pPr>
        <w:pStyle w:val="ListParagraph"/>
        <w:numPr>
          <w:ilvl w:val="0"/>
          <w:numId w:val="2"/>
        </w:numPr>
      </w:pPr>
      <w:r>
        <w:rPr>
          <w:rFonts w:ascii="Arial" w:cs="Arial" w:eastAsia="Arial" w:hAnsi="Arial"/>
          <w:sz w:val="24"/>
          <w:szCs w:val="24"/>
        </w:rPr>
        <w:t xml:space="preserve">ASO design constraint documentation per cluster</w:t>
      </w:r>
    </w:p>
    <w:p>
      <w:pPr>
        <w:pStyle w:val="ListParagraph"/>
        <w:numPr>
          <w:ilvl w:val="0"/>
          <w:numId w:val="2"/>
        </w:numPr>
      </w:pPr>
      <w:r>
        <w:rPr>
          <w:rFonts w:ascii="Arial" w:cs="Arial" w:eastAsia="Arial" w:hAnsi="Arial"/>
          <w:sz w:val="24"/>
          <w:szCs w:val="24"/>
        </w:rPr>
        <w:t xml:space="preserve">Sequence accessibility maps for exon-targeted approaches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JSON with gene-level structural assessments and cluster-level summaries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Evaluate brain expression patterns and CNS-specific pharmacokinetic requirements for identified targets.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RNA-seq data from Angelini for CNS tissue expression profiles</w:t>
      </w:r>
    </w:p>
    <w:p>
      <w:pPr>
        <w:pStyle w:val="ListParagraph"/>
        <w:numPr>
          <w:ilvl w:val="0"/>
          <w:numId w:val="2"/>
        </w:numPr>
      </w:pPr>
      <w:r>
        <w:rPr>
          <w:rFonts w:ascii="Arial" w:cs="Arial" w:eastAsia="Arial" w:hAnsi="Arial"/>
          <w:sz w:val="24"/>
          <w:szCs w:val="24"/>
        </w:rPr>
        <w:t xml:space="preserve">Single-cell RNA-seq datasets for neuronal vs. glial expression</w:t>
      </w:r>
    </w:p>
    <w:p>
      <w:pPr>
        <w:pStyle w:val="ListParagraph"/>
        <w:numPr>
          <w:ilvl w:val="0"/>
          <w:numId w:val="2"/>
        </w:numPr>
      </w:pPr>
      <w:r>
        <w:rPr>
          <w:rFonts w:ascii="Arial" w:cs="Arial" w:eastAsia="Arial" w:hAnsi="Arial"/>
          <w:sz w:val="24"/>
          <w:szCs w:val="24"/>
        </w:rPr>
        <w:t xml:space="preserve">GTEx and BioGPS databases for tissue specificity assessment</w:t>
      </w:r>
    </w:p>
    <w:p>
      <w:pPr>
        <w:pStyle w:val="ListParagraph"/>
        <w:numPr>
          <w:ilvl w:val="0"/>
          <w:numId w:val="2"/>
        </w:numPr>
      </w:pPr>
      <w:r>
        <w:rPr>
          <w:rFonts w:ascii="Arial" w:cs="Arial" w:eastAsia="Arial" w:hAnsi="Arial"/>
          <w:sz w:val="24"/>
          <w:szCs w:val="24"/>
        </w:rPr>
        <w:t xml:space="preserve">Blood-brain barrier (BBB) permeability databases and predictors</w:t>
      </w:r>
    </w:p>
    <w:p>
      <w:pPr>
        <w:pStyle w:val="ListParagraph"/>
        <w:numPr>
          <w:ilvl w:val="0"/>
          <w:numId w:val="2"/>
        </w:numPr>
      </w:pPr>
      <w:r>
        <w:rPr>
          <w:rFonts w:ascii="Arial" w:cs="Arial" w:eastAsia="Arial" w:hAnsi="Arial"/>
          <w:sz w:val="24"/>
          <w:szCs w:val="24"/>
        </w:rPr>
        <w:t xml:space="preserve">CNS-specific drug efficacy literature and ASO penetration studies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GTEx Portal for tissue-specific expression validation</w:t>
      </w:r>
    </w:p>
    <w:p>
      <w:pPr>
        <w:pStyle w:val="ListParagraph"/>
        <w:numPr>
          <w:ilvl w:val="0"/>
          <w:numId w:val="2"/>
        </w:numPr>
      </w:pPr>
      <w:r>
        <w:rPr>
          <w:rFonts w:ascii="Arial" w:cs="Arial" w:eastAsia="Arial" w:hAnsi="Arial"/>
          <w:sz w:val="24"/>
          <w:szCs w:val="24"/>
        </w:rPr>
        <w:t xml:space="preserve">BioGPS for detailed cell-type expression patterns</w:t>
      </w:r>
    </w:p>
    <w:p>
      <w:pPr>
        <w:pStyle w:val="ListParagraph"/>
        <w:numPr>
          <w:ilvl w:val="0"/>
          <w:numId w:val="2"/>
        </w:numPr>
      </w:pPr>
      <w:r>
        <w:rPr>
          <w:rFonts w:ascii="Arial" w:cs="Arial" w:eastAsia="Arial" w:hAnsi="Arial"/>
          <w:sz w:val="24"/>
          <w:szCs w:val="24"/>
        </w:rPr>
        <w:t xml:space="preserve">Allen Brain Atlas for spatially-resolved expression</w:t>
      </w:r>
    </w:p>
    <w:p>
      <w:pPr>
        <w:pStyle w:val="ListParagraph"/>
        <w:numPr>
          <w:ilvl w:val="0"/>
          <w:numId w:val="2"/>
        </w:numPr>
      </w:pPr>
      <w:r>
        <w:rPr>
          <w:rFonts w:ascii="Arial" w:cs="Arial" w:eastAsia="Arial" w:hAnsi="Arial"/>
          <w:sz w:val="24"/>
          <w:szCs w:val="24"/>
        </w:rPr>
        <w:t xml:space="preserve">TCGA and GEO datasets for patient expression validation</w:t>
      </w:r>
    </w:p>
    <w:p>
      <w:pPr>
        <w:pStyle w:val="ListParagraph"/>
        <w:numPr>
          <w:ilvl w:val="0"/>
          <w:numId w:val="2"/>
        </w:numPr>
      </w:pPr>
      <w:r>
        <w:rPr>
          <w:rFonts w:ascii="Arial" w:cs="Arial" w:eastAsia="Arial" w:hAnsi="Arial"/>
          <w:sz w:val="24"/>
          <w:szCs w:val="24"/>
        </w:rPr>
        <w:t xml:space="preserve">BBB permeability prediction tools and databases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tissue specificity profile for each target gene in the CNS?</w:t>
      </w:r>
    </w:p>
    <w:p>
      <w:pPr>
        <w:pStyle w:val="ListParagraph"/>
        <w:numPr>
          <w:ilvl w:val="0"/>
          <w:numId w:val="2"/>
        </w:numPr>
      </w:pPr>
      <w:r>
        <w:rPr>
          <w:rFonts w:ascii="Arial" w:cs="Arial" w:eastAsia="Arial" w:hAnsi="Arial"/>
          <w:i/>
          <w:iCs/>
          <w:sz w:val="24"/>
          <w:szCs w:val="24"/>
        </w:rPr>
        <w:t xml:space="preserve">Which ASO chemistries are optimal for BBB penetration to reach target tissues?</w:t>
      </w:r>
    </w:p>
    <w:p>
      <w:pPr>
        <w:pStyle w:val="ListParagraph"/>
        <w:numPr>
          <w:ilvl w:val="0"/>
          <w:numId w:val="2"/>
        </w:numPr>
      </w:pPr>
      <w:r>
        <w:rPr>
          <w:rFonts w:ascii="Arial" w:cs="Arial" w:eastAsia="Arial" w:hAnsi="Arial"/>
          <w:i/>
          <w:iCs/>
          <w:sz w:val="24"/>
          <w:szCs w:val="24"/>
        </w:rPr>
        <w:t xml:space="preserve">Are there off-target expression concerns in peripheral tissues?</w:t>
      </w:r>
    </w:p>
    <w:p>
      <w:pPr>
        <w:pStyle w:val="ListParagraph"/>
        <w:numPr>
          <w:ilvl w:val="0"/>
          <w:numId w:val="2"/>
        </w:numPr>
      </w:pPr>
      <w:r>
        <w:rPr>
          <w:rFonts w:ascii="Arial" w:cs="Arial" w:eastAsia="Arial" w:hAnsi="Arial"/>
          <w:i/>
          <w:iCs/>
          <w:sz w:val="24"/>
          <w:szCs w:val="24"/>
        </w:rPr>
        <w:t xml:space="preserve">How do expression patterns vary across neuronal subtypes within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Tissue-specific expression heatmaps and quantification</w:t>
      </w:r>
    </w:p>
    <w:p>
      <w:pPr>
        <w:pStyle w:val="ListParagraph"/>
        <w:numPr>
          <w:ilvl w:val="0"/>
          <w:numId w:val="2"/>
        </w:numPr>
      </w:pPr>
      <w:r>
        <w:rPr>
          <w:rFonts w:ascii="Arial" w:cs="Arial" w:eastAsia="Arial" w:hAnsi="Arial"/>
          <w:sz w:val="24"/>
          <w:szCs w:val="24"/>
        </w:rPr>
        <w:t xml:space="preserve">CNS penetration feasibility assessments per ASO chemistry</w:t>
      </w:r>
    </w:p>
    <w:p>
      <w:pPr>
        <w:pStyle w:val="ListParagraph"/>
        <w:numPr>
          <w:ilvl w:val="0"/>
          <w:numId w:val="2"/>
        </w:numPr>
      </w:pPr>
      <w:r>
        <w:rPr>
          <w:rFonts w:ascii="Arial" w:cs="Arial" w:eastAsia="Arial" w:hAnsi="Arial"/>
          <w:sz w:val="24"/>
          <w:szCs w:val="24"/>
        </w:rPr>
        <w:t xml:space="preserve">Off-target tissue expression risk profiles</w:t>
      </w:r>
    </w:p>
    <w:p>
      <w:pPr>
        <w:pStyle w:val="ListParagraph"/>
        <w:numPr>
          <w:ilvl w:val="0"/>
          <w:numId w:val="2"/>
        </w:numPr>
      </w:pPr>
      <w:r>
        <w:rPr>
          <w:rFonts w:ascii="Arial" w:cs="Arial" w:eastAsia="Arial" w:hAnsi="Arial"/>
          <w:sz w:val="24"/>
          <w:szCs w:val="24"/>
        </w:rPr>
        <w:t xml:space="preserve">Cell-type specificity compatibility analyses</w:t>
      </w:r>
    </w:p>
    <w:p>
      <w:pPr>
        <w:pStyle w:val="ListParagraph"/>
        <w:numPr>
          <w:ilvl w:val="0"/>
          <w:numId w:val="2"/>
        </w:numPr>
      </w:pPr>
      <w:r>
        <w:rPr>
          <w:rFonts w:ascii="Arial" w:cs="Arial" w:eastAsia="Arial" w:hAnsi="Arial"/>
          <w:sz w:val="24"/>
          <w:szCs w:val="24"/>
        </w:rPr>
        <w:t xml:space="preserve">Expression validation against external patient datasets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Annotated expression matrices and tissue-specific risk assessments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Identify and analyze precedent ASO therapeutics for neurological indications to validate approach.</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FDA-approved ASO therapeutics database and clinical trial records</w:t>
      </w:r>
    </w:p>
    <w:p>
      <w:pPr>
        <w:pStyle w:val="ListParagraph"/>
        <w:numPr>
          <w:ilvl w:val="0"/>
          <w:numId w:val="2"/>
        </w:numPr>
      </w:pPr>
      <w:r>
        <w:rPr>
          <w:rFonts w:ascii="Arial" w:cs="Arial" w:eastAsia="Arial" w:hAnsi="Arial"/>
          <w:sz w:val="24"/>
          <w:szCs w:val="24"/>
        </w:rPr>
        <w:t xml:space="preserve">Precedent ASO therapies for neurological diseases (SMA, FTD, ALS)</w:t>
      </w:r>
    </w:p>
    <w:p>
      <w:pPr>
        <w:pStyle w:val="ListParagraph"/>
        <w:numPr>
          <w:ilvl w:val="0"/>
          <w:numId w:val="2"/>
        </w:numPr>
      </w:pPr>
      <w:r>
        <w:rPr>
          <w:rFonts w:ascii="Arial" w:cs="Arial" w:eastAsia="Arial" w:hAnsi="Arial"/>
          <w:sz w:val="24"/>
          <w:szCs w:val="24"/>
        </w:rPr>
        <w:t xml:space="preserve">Published ASO design parameters from successful programs</w:t>
      </w:r>
    </w:p>
    <w:p>
      <w:pPr>
        <w:pStyle w:val="ListParagraph"/>
        <w:numPr>
          <w:ilvl w:val="0"/>
          <w:numId w:val="2"/>
        </w:numPr>
      </w:pPr>
      <w:r>
        <w:rPr>
          <w:rFonts w:ascii="Arial" w:cs="Arial" w:eastAsia="Arial" w:hAnsi="Arial"/>
          <w:sz w:val="24"/>
          <w:szCs w:val="24"/>
        </w:rPr>
        <w:t xml:space="preserve">Clinical safety and efficacy data from ASO trials</w:t>
      </w:r>
    </w:p>
    <w:p>
      <w:pPr>
        <w:pStyle w:val="ListParagraph"/>
        <w:numPr>
          <w:ilvl w:val="0"/>
          <w:numId w:val="2"/>
        </w:numPr>
      </w:pPr>
      <w:r>
        <w:rPr>
          <w:rFonts w:ascii="Arial" w:cs="Arial" w:eastAsia="Arial" w:hAnsi="Arial"/>
          <w:sz w:val="24"/>
          <w:szCs w:val="24"/>
        </w:rPr>
        <w:t xml:space="preserve">Target class-specific ASO design guidelines from literature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Cortellis and Pharmaprojects for ASO pipeline information</w:t>
      </w:r>
    </w:p>
    <w:p>
      <w:pPr>
        <w:pStyle w:val="ListParagraph"/>
        <w:numPr>
          <w:ilvl w:val="0"/>
          <w:numId w:val="2"/>
        </w:numPr>
      </w:pPr>
      <w:r>
        <w:rPr>
          <w:rFonts w:ascii="Arial" w:cs="Arial" w:eastAsia="Arial" w:hAnsi="Arial"/>
          <w:sz w:val="24"/>
          <w:szCs w:val="24"/>
        </w:rPr>
        <w:t xml:space="preserve">FDA CBER database for approved antisense therapeutics</w:t>
      </w:r>
    </w:p>
    <w:p>
      <w:pPr>
        <w:pStyle w:val="ListParagraph"/>
        <w:numPr>
          <w:ilvl w:val="0"/>
          <w:numId w:val="2"/>
        </w:numPr>
      </w:pPr>
      <w:r>
        <w:rPr>
          <w:rFonts w:ascii="Arial" w:cs="Arial" w:eastAsia="Arial" w:hAnsi="Arial"/>
          <w:sz w:val="24"/>
          <w:szCs w:val="24"/>
        </w:rPr>
        <w:t xml:space="preserve">PubMed/Google Scholar for ASO design literature</w:t>
      </w:r>
    </w:p>
    <w:p>
      <w:pPr>
        <w:pStyle w:val="ListParagraph"/>
        <w:numPr>
          <w:ilvl w:val="0"/>
          <w:numId w:val="2"/>
        </w:numPr>
      </w:pPr>
      <w:r>
        <w:rPr>
          <w:rFonts w:ascii="Arial" w:cs="Arial" w:eastAsia="Arial" w:hAnsi="Arial"/>
          <w:sz w:val="24"/>
          <w:szCs w:val="24"/>
        </w:rPr>
        <w:t xml:space="preserve">ClinicalTrials.gov for ASO clinical trial information</w:t>
      </w:r>
    </w:p>
    <w:p>
      <w:pPr>
        <w:pStyle w:val="ListParagraph"/>
        <w:numPr>
          <w:ilvl w:val="0"/>
          <w:numId w:val="2"/>
        </w:numPr>
      </w:pPr>
      <w:r>
        <w:rPr>
          <w:rFonts w:ascii="Arial" w:cs="Arial" w:eastAsia="Arial" w:hAnsi="Arial"/>
          <w:sz w:val="24"/>
          <w:szCs w:val="24"/>
        </w:rPr>
        <w:t xml:space="preserve">BiopharmReview and specialized ASO design databases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design principles emerged from successful neurological ASO programs?</w:t>
      </w:r>
    </w:p>
    <w:p>
      <w:pPr>
        <w:pStyle w:val="ListParagraph"/>
        <w:numPr>
          <w:ilvl w:val="0"/>
          <w:numId w:val="2"/>
        </w:numPr>
      </w:pPr>
      <w:r>
        <w:rPr>
          <w:rFonts w:ascii="Arial" w:cs="Arial" w:eastAsia="Arial" w:hAnsi="Arial"/>
          <w:i/>
          <w:iCs/>
          <w:sz w:val="24"/>
          <w:szCs w:val="24"/>
        </w:rPr>
        <w:t xml:space="preserve">Which target classes show highest success rates for ASO therapeutics?</w:t>
      </w:r>
    </w:p>
    <w:p>
      <w:pPr>
        <w:pStyle w:val="ListParagraph"/>
        <w:numPr>
          <w:ilvl w:val="0"/>
          <w:numId w:val="2"/>
        </w:numPr>
      </w:pPr>
      <w:r>
        <w:rPr>
          <w:rFonts w:ascii="Arial" w:cs="Arial" w:eastAsia="Arial" w:hAnsi="Arial"/>
          <w:i/>
          <w:iCs/>
          <w:sz w:val="24"/>
          <w:szCs w:val="24"/>
        </w:rPr>
        <w:t xml:space="preserve">Are there specific modifications (chemistry, conjugates) that improve CNS penetration?</w:t>
      </w:r>
    </w:p>
    <w:p>
      <w:pPr>
        <w:pStyle w:val="ListParagraph"/>
        <w:numPr>
          <w:ilvl w:val="0"/>
          <w:numId w:val="2"/>
        </w:numPr>
      </w:pPr>
      <w:r>
        <w:rPr>
          <w:rFonts w:ascii="Arial" w:cs="Arial" w:eastAsia="Arial" w:hAnsi="Arial"/>
          <w:i/>
          <w:iCs/>
          <w:sz w:val="24"/>
          <w:szCs w:val="24"/>
        </w:rPr>
        <w:t xml:space="preserve">What safety profile should we expect based on target class and modification history?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Precedent analysis matrix comparing target characteristics to successful ASOs</w:t>
      </w:r>
    </w:p>
    <w:p>
      <w:pPr>
        <w:pStyle w:val="ListParagraph"/>
        <w:numPr>
          <w:ilvl w:val="0"/>
          <w:numId w:val="2"/>
        </w:numPr>
      </w:pPr>
      <w:r>
        <w:rPr>
          <w:rFonts w:ascii="Arial" w:cs="Arial" w:eastAsia="Arial" w:hAnsi="Arial"/>
          <w:sz w:val="24"/>
          <w:szCs w:val="24"/>
        </w:rPr>
        <w:t xml:space="preserve">Design principle extraction and applicability assessments</w:t>
      </w:r>
    </w:p>
    <w:p>
      <w:pPr>
        <w:pStyle w:val="ListParagraph"/>
        <w:numPr>
          <w:ilvl w:val="0"/>
          <w:numId w:val="2"/>
        </w:numPr>
      </w:pPr>
      <w:r>
        <w:rPr>
          <w:rFonts w:ascii="Arial" w:cs="Arial" w:eastAsia="Arial" w:hAnsi="Arial"/>
          <w:sz w:val="24"/>
          <w:szCs w:val="24"/>
        </w:rPr>
        <w:t xml:space="preserve">Safety profile projections based on target class and modifications</w:t>
      </w:r>
    </w:p>
    <w:p>
      <w:pPr>
        <w:pStyle w:val="ListParagraph"/>
        <w:numPr>
          <w:ilvl w:val="0"/>
          <w:numId w:val="2"/>
        </w:numPr>
      </w:pPr>
      <w:r>
        <w:rPr>
          <w:rFonts w:ascii="Arial" w:cs="Arial" w:eastAsia="Arial" w:hAnsi="Arial"/>
          <w:sz w:val="24"/>
          <w:szCs w:val="24"/>
        </w:rPr>
        <w:t xml:space="preserve">Success probability scores derived from historical patterns</w:t>
      </w:r>
    </w:p>
    <w:p>
      <w:pPr>
        <w:pStyle w:val="ListParagraph"/>
        <w:numPr>
          <w:ilvl w:val="0"/>
          <w:numId w:val="2"/>
        </w:numPr>
      </w:pPr>
      <w:r>
        <w:rPr>
          <w:rFonts w:ascii="Arial" w:cs="Arial" w:eastAsia="Arial" w:hAnsi="Arial"/>
          <w:sz w:val="24"/>
          <w:szCs w:val="24"/>
        </w:rPr>
        <w:t xml:space="preserve">Recommended ASO chemistry and modification approaches per gene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Comparative analysis documents with success probability rankings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feasibility assessments against therapeutic databases and competitive landscape.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Cortellis and GlobalData pharmaceutical pipeline databases</w:t>
      </w:r>
    </w:p>
    <w:p>
      <w:pPr>
        <w:pStyle w:val="ListParagraph"/>
        <w:numPr>
          <w:ilvl w:val="0"/>
          <w:numId w:val="2"/>
        </w:numPr>
      </w:pPr>
      <w:r>
        <w:rPr>
          <w:rFonts w:ascii="Arial" w:cs="Arial" w:eastAsia="Arial" w:hAnsi="Arial"/>
          <w:sz w:val="24"/>
          <w:szCs w:val="24"/>
        </w:rPr>
        <w:t xml:space="preserve">Patent databases (USPTO, WIPO) for ASO intellectual property</w:t>
      </w:r>
    </w:p>
    <w:p>
      <w:pPr>
        <w:pStyle w:val="ListParagraph"/>
        <w:numPr>
          <w:ilvl w:val="0"/>
          <w:numId w:val="2"/>
        </w:numPr>
      </w:pPr>
      <w:r>
        <w:rPr>
          <w:rFonts w:ascii="Arial" w:cs="Arial" w:eastAsia="Arial" w:hAnsi="Arial"/>
          <w:sz w:val="24"/>
          <w:szCs w:val="24"/>
        </w:rPr>
        <w:t xml:space="preserve">Published clinical trial results and interim efficacy reports</w:t>
      </w:r>
    </w:p>
    <w:p>
      <w:pPr>
        <w:pStyle w:val="ListParagraph"/>
        <w:numPr>
          <w:ilvl w:val="0"/>
          <w:numId w:val="2"/>
        </w:numPr>
      </w:pPr>
      <w:r>
        <w:rPr>
          <w:rFonts w:ascii="Arial" w:cs="Arial" w:eastAsia="Arial" w:hAnsi="Arial"/>
          <w:sz w:val="24"/>
          <w:szCs w:val="24"/>
        </w:rPr>
        <w:t xml:space="preserve">Regulatory feedback from FDA meetings and guidance documents</w:t>
      </w:r>
    </w:p>
    <w:p>
      <w:pPr>
        <w:pStyle w:val="ListParagraph"/>
        <w:numPr>
          <w:ilvl w:val="0"/>
          <w:numId w:val="2"/>
        </w:numPr>
      </w:pPr>
      <w:r>
        <w:rPr>
          <w:rFonts w:ascii="Arial" w:cs="Arial" w:eastAsia="Arial" w:hAnsi="Arial"/>
          <w:sz w:val="24"/>
          <w:szCs w:val="24"/>
        </w:rPr>
        <w:t xml:space="preserve">Competitive ASO programs targeting Angelini cluster genes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Cortellis for pharmaceutical pipeline intelligence</w:t>
      </w:r>
    </w:p>
    <w:p>
      <w:pPr>
        <w:pStyle w:val="ListParagraph"/>
        <w:numPr>
          <w:ilvl w:val="0"/>
          <w:numId w:val="2"/>
        </w:numPr>
      </w:pPr>
      <w:r>
        <w:rPr>
          <w:rFonts w:ascii="Arial" w:cs="Arial" w:eastAsia="Arial" w:hAnsi="Arial"/>
          <w:sz w:val="24"/>
          <w:szCs w:val="24"/>
        </w:rPr>
        <w:t xml:space="preserve">GlobalData for therapeutic landscape analysis</w:t>
      </w:r>
    </w:p>
    <w:p>
      <w:pPr>
        <w:pStyle w:val="ListParagraph"/>
        <w:numPr>
          <w:ilvl w:val="0"/>
          <w:numId w:val="2"/>
        </w:numPr>
      </w:pPr>
      <w:r>
        <w:rPr>
          <w:rFonts w:ascii="Arial" w:cs="Arial" w:eastAsia="Arial" w:hAnsi="Arial"/>
          <w:sz w:val="24"/>
          <w:szCs w:val="24"/>
        </w:rPr>
        <w:t xml:space="preserve">Google Patents and Espacenet for IP landscape</w:t>
      </w:r>
    </w:p>
    <w:p>
      <w:pPr>
        <w:pStyle w:val="ListParagraph"/>
        <w:numPr>
          <w:ilvl w:val="0"/>
          <w:numId w:val="2"/>
        </w:numPr>
      </w:pPr>
      <w:r>
        <w:rPr>
          <w:rFonts w:ascii="Arial" w:cs="Arial" w:eastAsia="Arial" w:hAnsi="Arial"/>
          <w:sz w:val="24"/>
          <w:szCs w:val="24"/>
        </w:rPr>
        <w:t xml:space="preserve">FDA Open Payments and CBER databases</w:t>
      </w:r>
    </w:p>
    <w:p>
      <w:pPr>
        <w:pStyle w:val="ListParagraph"/>
        <w:numPr>
          <w:ilvl w:val="0"/>
          <w:numId w:val="2"/>
        </w:numPr>
      </w:pPr>
      <w:r>
        <w:rPr>
          <w:rFonts w:ascii="Arial" w:cs="Arial" w:eastAsia="Arial" w:hAnsi="Arial"/>
          <w:sz w:val="24"/>
          <w:szCs w:val="24"/>
        </w:rPr>
        <w:t xml:space="preserve">Biotech and pharma news aggregators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Are there competing ASO programs targeting the same genes or pathways?</w:t>
      </w:r>
    </w:p>
    <w:p>
      <w:pPr>
        <w:pStyle w:val="ListParagraph"/>
        <w:numPr>
          <w:ilvl w:val="0"/>
          <w:numId w:val="2"/>
        </w:numPr>
      </w:pPr>
      <w:r>
        <w:rPr>
          <w:rFonts w:ascii="Arial" w:cs="Arial" w:eastAsia="Arial" w:hAnsi="Arial"/>
          <w:i/>
          <w:iCs/>
          <w:sz w:val="24"/>
          <w:szCs w:val="24"/>
        </w:rPr>
        <w:t xml:space="preserve">What is the patent landscape for top candidates?</w:t>
      </w:r>
    </w:p>
    <w:p>
      <w:pPr>
        <w:pStyle w:val="ListParagraph"/>
        <w:numPr>
          <w:ilvl w:val="0"/>
          <w:numId w:val="2"/>
        </w:numPr>
      </w:pPr>
      <w:r>
        <w:rPr>
          <w:rFonts w:ascii="Arial" w:cs="Arial" w:eastAsia="Arial" w:hAnsi="Arial"/>
          <w:i/>
          <w:iCs/>
          <w:sz w:val="24"/>
          <w:szCs w:val="24"/>
        </w:rPr>
        <w:t xml:space="preserve">Has the FDA provided guidance on similar programs?</w:t>
      </w:r>
    </w:p>
    <w:p>
      <w:pPr>
        <w:pStyle w:val="ListParagraph"/>
        <w:numPr>
          <w:ilvl w:val="0"/>
          <w:numId w:val="2"/>
        </w:numPr>
      </w:pPr>
      <w:r>
        <w:rPr>
          <w:rFonts w:ascii="Arial" w:cs="Arial" w:eastAsia="Arial" w:hAnsi="Arial"/>
          <w:i/>
          <w:iCs/>
          <w:sz w:val="24"/>
          <w:szCs w:val="24"/>
        </w:rPr>
        <w:t xml:space="preserve">What competitive advantages could differentiate our ASO approach?</w:t>
      </w:r>
    </w:p>
    <w:p>
      <w:pPr>
        <w:pStyle w:val="ListParagraph"/>
        <w:numPr>
          <w:ilvl w:val="0"/>
          <w:numId w:val="2"/>
        </w:numPr>
      </w:pPr>
      <w:r>
        <w:rPr>
          <w:rFonts w:ascii="Arial" w:cs="Arial" w:eastAsia="Arial" w:hAnsi="Arial"/>
          <w:i/>
          <w:iCs/>
          <w:sz w:val="24"/>
          <w:szCs w:val="24"/>
        </w:rPr>
        <w:t xml:space="preserve">Are there partnerships or acquisition opportunities with existing programs?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Competitive intelligence reports per target gene</w:t>
      </w:r>
    </w:p>
    <w:p>
      <w:pPr>
        <w:pStyle w:val="ListParagraph"/>
        <w:numPr>
          <w:ilvl w:val="0"/>
          <w:numId w:val="2"/>
        </w:numPr>
      </w:pPr>
      <w:r>
        <w:rPr>
          <w:rFonts w:ascii="Arial" w:cs="Arial" w:eastAsia="Arial" w:hAnsi="Arial"/>
          <w:sz w:val="24"/>
          <w:szCs w:val="24"/>
        </w:rPr>
        <w:t xml:space="preserve">Patent landscape and freedom-to-operate assessments</w:t>
      </w:r>
    </w:p>
    <w:p>
      <w:pPr>
        <w:pStyle w:val="ListParagraph"/>
        <w:numPr>
          <w:ilvl w:val="0"/>
          <w:numId w:val="2"/>
        </w:numPr>
      </w:pPr>
      <w:r>
        <w:rPr>
          <w:rFonts w:ascii="Arial" w:cs="Arial" w:eastAsia="Arial" w:hAnsi="Arial"/>
          <w:sz w:val="24"/>
          <w:szCs w:val="24"/>
        </w:rPr>
        <w:t xml:space="preserve">Regulatory precedent analysis and pathway guidance</w:t>
      </w:r>
    </w:p>
    <w:p>
      <w:pPr>
        <w:pStyle w:val="ListParagraph"/>
        <w:numPr>
          <w:ilvl w:val="0"/>
          <w:numId w:val="2"/>
        </w:numPr>
      </w:pPr>
      <w:r>
        <w:rPr>
          <w:rFonts w:ascii="Arial" w:cs="Arial" w:eastAsia="Arial" w:hAnsi="Arial"/>
          <w:sz w:val="24"/>
          <w:szCs w:val="24"/>
        </w:rPr>
        <w:t xml:space="preserve">Partnership opportunity identification matrix</w:t>
      </w:r>
    </w:p>
    <w:p>
      <w:pPr>
        <w:pStyle w:val="ListParagraph"/>
        <w:numPr>
          <w:ilvl w:val="0"/>
          <w:numId w:val="2"/>
        </w:numPr>
      </w:pPr>
      <w:r>
        <w:rPr>
          <w:rFonts w:ascii="Arial" w:cs="Arial" w:eastAsia="Arial" w:hAnsi="Arial"/>
          <w:sz w:val="24"/>
          <w:szCs w:val="24"/>
        </w:rPr>
        <w:t xml:space="preserve">Differentiation strategies based on competitive analysis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Strategic competitive intelligence documents and opportunity assessments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all assessments into prioritized feasibility recommendations for ASO development.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Structural feasibility scores and sequence accessibility maps</w:t>
      </w:r>
    </w:p>
    <w:p>
      <w:pPr>
        <w:pStyle w:val="ListParagraph"/>
        <w:numPr>
          <w:ilvl w:val="0"/>
          <w:numId w:val="2"/>
        </w:numPr>
      </w:pPr>
      <w:r>
        <w:rPr>
          <w:rFonts w:ascii="Arial" w:cs="Arial" w:eastAsia="Arial" w:hAnsi="Arial"/>
          <w:sz w:val="24"/>
          <w:szCs w:val="24"/>
        </w:rPr>
        <w:t xml:space="preserve">Brain expression and CNS penetration analyses</w:t>
      </w:r>
    </w:p>
    <w:p>
      <w:pPr>
        <w:pStyle w:val="ListParagraph"/>
        <w:numPr>
          <w:ilvl w:val="0"/>
          <w:numId w:val="2"/>
        </w:numPr>
      </w:pPr>
      <w:r>
        <w:rPr>
          <w:rFonts w:ascii="Arial" w:cs="Arial" w:eastAsia="Arial" w:hAnsi="Arial"/>
          <w:sz w:val="24"/>
          <w:szCs w:val="24"/>
        </w:rPr>
        <w:t xml:space="preserve">ASO precedent comparative analyses</w:t>
      </w:r>
    </w:p>
    <w:p>
      <w:pPr>
        <w:pStyle w:val="ListParagraph"/>
        <w:numPr>
          <w:ilvl w:val="0"/>
          <w:numId w:val="2"/>
        </w:numPr>
      </w:pPr>
      <w:r>
        <w:rPr>
          <w:rFonts w:ascii="Arial" w:cs="Arial" w:eastAsia="Arial" w:hAnsi="Arial"/>
          <w:sz w:val="24"/>
          <w:szCs w:val="24"/>
        </w:rPr>
        <w:t xml:space="preserve">Competitive landscape and regulatory pathway assessments</w:t>
      </w:r>
    </w:p>
    <w:p>
      <w:pPr>
        <w:pStyle w:val="ListParagraph"/>
        <w:numPr>
          <w:ilvl w:val="0"/>
          <w:numId w:val="2"/>
        </w:numPr>
      </w:pPr>
      <w:r>
        <w:rPr>
          <w:rFonts w:ascii="Arial" w:cs="Arial" w:eastAsia="Arial" w:hAnsi="Arial"/>
          <w:sz w:val="24"/>
          <w:szCs w:val="24"/>
        </w:rPr>
        <w:t xml:space="preserve">Cross-cluster target interaction and combination strategy data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Multi-criteria decision analysis (MCDA) frameworks</w:t>
      </w:r>
    </w:p>
    <w:p>
      <w:pPr>
        <w:pStyle w:val="ListParagraph"/>
        <w:numPr>
          <w:ilvl w:val="0"/>
          <w:numId w:val="2"/>
        </w:numPr>
      </w:pPr>
      <w:r>
        <w:rPr>
          <w:rFonts w:ascii="Arial" w:cs="Arial" w:eastAsia="Arial" w:hAnsi="Arial"/>
          <w:sz w:val="24"/>
          <w:szCs w:val="24"/>
        </w:rPr>
        <w:t xml:space="preserve">Scoring and ranking algorithms</w:t>
      </w:r>
    </w:p>
    <w:p>
      <w:pPr>
        <w:pStyle w:val="ListParagraph"/>
        <w:numPr>
          <w:ilvl w:val="0"/>
          <w:numId w:val="2"/>
        </w:numPr>
      </w:pPr>
      <w:r>
        <w:rPr>
          <w:rFonts w:ascii="Arial" w:cs="Arial" w:eastAsia="Arial" w:hAnsi="Arial"/>
          <w:sz w:val="24"/>
          <w:szCs w:val="24"/>
        </w:rPr>
        <w:t xml:space="preserve">Pathway analysis tools for cluster-level integration</w:t>
      </w:r>
    </w:p>
    <w:p>
      <w:pPr>
        <w:pStyle w:val="ListParagraph"/>
        <w:numPr>
          <w:ilvl w:val="0"/>
          <w:numId w:val="2"/>
        </w:numPr>
      </w:pPr>
      <w:r>
        <w:rPr>
          <w:rFonts w:ascii="Arial" w:cs="Arial" w:eastAsia="Arial" w:hAnsi="Arial"/>
          <w:sz w:val="24"/>
          <w:szCs w:val="24"/>
        </w:rPr>
        <w:t xml:space="preserve">Risk assessment and probability modeling tools</w:t>
      </w:r>
    </w:p>
    <w:p>
      <w:pPr>
        <w:pStyle w:val="ListParagraph"/>
        <w:numPr>
          <w:ilvl w:val="0"/>
          <w:numId w:val="2"/>
        </w:numPr>
      </w:pPr>
      <w:r>
        <w:rPr>
          <w:rFonts w:ascii="Arial" w:cs="Arial" w:eastAsia="Arial" w:hAnsi="Arial"/>
          <w:sz w:val="24"/>
          <w:szCs w:val="24"/>
        </w:rPr>
        <w:t xml:space="preserve">Visualization and dashboard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top 10 targets across clusters have the highest combined ASO feasibility scores?</w:t>
      </w:r>
    </w:p>
    <w:p>
      <w:pPr>
        <w:pStyle w:val="ListParagraph"/>
        <w:numPr>
          <w:ilvl w:val="0"/>
          <w:numId w:val="2"/>
        </w:numPr>
      </w:pPr>
      <w:r>
        <w:rPr>
          <w:rFonts w:ascii="Arial" w:cs="Arial" w:eastAsia="Arial" w:hAnsi="Arial"/>
          <w:i/>
          <w:iCs/>
          <w:sz w:val="24"/>
          <w:szCs w:val="24"/>
        </w:rPr>
        <w:t xml:space="preserve">Should we prioritize monotherapy or combination ASO strategies?</w:t>
      </w:r>
    </w:p>
    <w:p>
      <w:pPr>
        <w:pStyle w:val="ListParagraph"/>
        <w:numPr>
          <w:ilvl w:val="0"/>
          <w:numId w:val="2"/>
        </w:numPr>
      </w:pPr>
      <w:r>
        <w:rPr>
          <w:rFonts w:ascii="Arial" w:cs="Arial" w:eastAsia="Arial" w:hAnsi="Arial"/>
          <w:i/>
          <w:iCs/>
          <w:sz w:val="24"/>
          <w:szCs w:val="24"/>
        </w:rPr>
        <w:t xml:space="preserve">What is the overall timeline estimate for lead ASO candidate development?</w:t>
      </w:r>
    </w:p>
    <w:p>
      <w:pPr>
        <w:pStyle w:val="ListParagraph"/>
        <w:numPr>
          <w:ilvl w:val="0"/>
          <w:numId w:val="2"/>
        </w:numPr>
      </w:pPr>
      <w:r>
        <w:rPr>
          <w:rFonts w:ascii="Arial" w:cs="Arial" w:eastAsia="Arial" w:hAnsi="Arial"/>
          <w:i/>
          <w:iCs/>
          <w:sz w:val="24"/>
          <w:szCs w:val="24"/>
        </w:rPr>
        <w:t xml:space="preserve">Which targets represent genuine innovation vs. precedent repetition?</w:t>
      </w:r>
    </w:p>
    <w:p>
      <w:pPr>
        <w:pStyle w:val="ListParagraph"/>
        <w:numPr>
          <w:ilvl w:val="0"/>
          <w:numId w:val="2"/>
        </w:numPr>
      </w:pPr>
      <w:r>
        <w:rPr>
          <w:rFonts w:ascii="Arial" w:cs="Arial" w:eastAsia="Arial" w:hAnsi="Arial"/>
          <w:i/>
          <w:iCs/>
          <w:sz w:val="24"/>
          <w:szCs w:val="24"/>
        </w:rPr>
        <w:t xml:space="preserve">What are the key regulatory and scientific validation milestones?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Prioritized target list with overall feasibility scores (1-100)</w:t>
      </w:r>
    </w:p>
    <w:p>
      <w:pPr>
        <w:pStyle w:val="ListParagraph"/>
        <w:numPr>
          <w:ilvl w:val="0"/>
          <w:numId w:val="2"/>
        </w:numPr>
      </w:pPr>
      <w:r>
        <w:rPr>
          <w:rFonts w:ascii="Arial" w:cs="Arial" w:eastAsia="Arial" w:hAnsi="Arial"/>
          <w:sz w:val="24"/>
          <w:szCs w:val="24"/>
        </w:rPr>
        <w:t xml:space="preserve">Recommended ASO design strategies per top target</w:t>
      </w:r>
    </w:p>
    <w:p>
      <w:pPr>
        <w:pStyle w:val="ListParagraph"/>
        <w:numPr>
          <w:ilvl w:val="0"/>
          <w:numId w:val="2"/>
        </w:numPr>
      </w:pPr>
      <w:r>
        <w:rPr>
          <w:rFonts w:ascii="Arial" w:cs="Arial" w:eastAsia="Arial" w:hAnsi="Arial"/>
          <w:sz w:val="24"/>
          <w:szCs w:val="24"/>
        </w:rPr>
        <w:t xml:space="preserve">Cluster-level ASO strategy recommendations (mono vs. combo)</w:t>
      </w:r>
    </w:p>
    <w:p>
      <w:pPr>
        <w:pStyle w:val="ListParagraph"/>
        <w:numPr>
          <w:ilvl w:val="0"/>
          <w:numId w:val="2"/>
        </w:numPr>
      </w:pPr>
      <w:r>
        <w:rPr>
          <w:rFonts w:ascii="Arial" w:cs="Arial" w:eastAsia="Arial" w:hAnsi="Arial"/>
          <w:sz w:val="24"/>
          <w:szCs w:val="24"/>
        </w:rPr>
        <w:t xml:space="preserve">Development timeline and regulatory pathway projections</w:t>
      </w:r>
    </w:p>
    <w:p>
      <w:pPr>
        <w:pStyle w:val="ListParagraph"/>
        <w:numPr>
          <w:ilvl w:val="0"/>
          <w:numId w:val="2"/>
        </w:numPr>
      </w:pPr>
      <w:r>
        <w:rPr>
          <w:rFonts w:ascii="Arial" w:cs="Arial" w:eastAsia="Arial" w:hAnsi="Arial"/>
          <w:sz w:val="24"/>
          <w:szCs w:val="24"/>
        </w:rPr>
        <w:t xml:space="preserve">Key experimental validation requirements for lead candidates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Executive summary with prioritized target lists and development timelines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implementation documents and next-step action plans.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Finalized prioritized target recommendations</w:t>
      </w:r>
    </w:p>
    <w:p>
      <w:pPr>
        <w:pStyle w:val="ListParagraph"/>
        <w:numPr>
          <w:ilvl w:val="0"/>
          <w:numId w:val="2"/>
        </w:numPr>
      </w:pPr>
      <w:r>
        <w:rPr>
          <w:rFonts w:ascii="Arial" w:cs="Arial" w:eastAsia="Arial" w:hAnsi="Arial"/>
          <w:sz w:val="24"/>
          <w:szCs w:val="24"/>
        </w:rPr>
        <w:t xml:space="preserve">Detailed feasibility assessments and supporting analyses</w:t>
      </w:r>
    </w:p>
    <w:p>
      <w:pPr>
        <w:pStyle w:val="ListParagraph"/>
        <w:numPr>
          <w:ilvl w:val="0"/>
          <w:numId w:val="2"/>
        </w:numPr>
      </w:pPr>
      <w:r>
        <w:rPr>
          <w:rFonts w:ascii="Arial" w:cs="Arial" w:eastAsia="Arial" w:hAnsi="Arial"/>
          <w:sz w:val="24"/>
          <w:szCs w:val="24"/>
        </w:rPr>
        <w:t xml:space="preserve">Regulatory guidance and precedent pathway documents</w:t>
      </w:r>
    </w:p>
    <w:p>
      <w:pPr>
        <w:pStyle w:val="ListParagraph"/>
        <w:numPr>
          <w:ilvl w:val="0"/>
          <w:numId w:val="2"/>
        </w:numPr>
      </w:pPr>
      <w:r>
        <w:rPr>
          <w:rFonts w:ascii="Arial" w:cs="Arial" w:eastAsia="Arial" w:hAnsi="Arial"/>
          <w:sz w:val="24"/>
          <w:szCs w:val="24"/>
        </w:rPr>
        <w:t xml:space="preserve">ASO design specifications and chemistry recommendations</w:t>
      </w:r>
    </w:p>
    <w:p>
      <w:pPr>
        <w:pStyle w:val="ListParagraph"/>
        <w:numPr>
          <w:ilvl w:val="0"/>
          <w:numId w:val="2"/>
        </w:numPr>
      </w:pPr>
      <w:r>
        <w:rPr>
          <w:rFonts w:ascii="Arial" w:cs="Arial" w:eastAsia="Arial" w:hAnsi="Arial"/>
          <w:sz w:val="24"/>
          <w:szCs w:val="24"/>
        </w:rPr>
        <w:t xml:space="preserve">Experimental validation protocols and success criteria</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Document generation and report formatting tools</w:t>
      </w:r>
    </w:p>
    <w:p>
      <w:pPr>
        <w:pStyle w:val="ListParagraph"/>
        <w:numPr>
          <w:ilvl w:val="0"/>
          <w:numId w:val="2"/>
        </w:numPr>
      </w:pPr>
      <w:r>
        <w:rPr>
          <w:rFonts w:ascii="Arial" w:cs="Arial" w:eastAsia="Arial" w:hAnsi="Arial"/>
          <w:sz w:val="24"/>
          <w:szCs w:val="24"/>
        </w:rPr>
        <w:t xml:space="preserve">Project management and milestone tracking systems</w:t>
      </w:r>
    </w:p>
    <w:p>
      <w:pPr>
        <w:pStyle w:val="ListParagraph"/>
        <w:numPr>
          <w:ilvl w:val="0"/>
          <w:numId w:val="2"/>
        </w:numPr>
      </w:pPr>
      <w:r>
        <w:rPr>
          <w:rFonts w:ascii="Arial" w:cs="Arial" w:eastAsia="Arial" w:hAnsi="Arial"/>
          <w:sz w:val="24"/>
          <w:szCs w:val="24"/>
        </w:rPr>
        <w:t xml:space="preserve">Regulatory intelligence and pathway tracking tools</w:t>
      </w:r>
    </w:p>
    <w:p>
      <w:pPr>
        <w:pStyle w:val="ListParagraph"/>
        <w:numPr>
          <w:ilvl w:val="0"/>
          <w:numId w:val="2"/>
        </w:numPr>
      </w:pPr>
      <w:r>
        <w:rPr>
          <w:rFonts w:ascii="Arial" w:cs="Arial" w:eastAsia="Arial" w:hAnsi="Arial"/>
          <w:sz w:val="24"/>
          <w:szCs w:val="24"/>
        </w:rPr>
        <w:t xml:space="preserve">Synthesis and summary automation tools</w:t>
      </w:r>
    </w:p>
    <w:p>
      <w:pPr>
        <w:pStyle w:val="ListParagraph"/>
        <w:numPr>
          <w:ilvl w:val="0"/>
          <w:numId w:val="2"/>
        </w:numPr>
      </w:pPr>
      <w:r>
        <w:rPr>
          <w:rFonts w:ascii="Arial" w:cs="Arial" w:eastAsia="Arial" w:hAnsi="Arial"/>
          <w:sz w:val="24"/>
          <w:szCs w:val="24"/>
        </w:rPr>
        <w:t xml:space="preserve">Stakeholder communication and presentation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specific next steps for advancing top ASO candidates?</w:t>
      </w:r>
    </w:p>
    <w:p>
      <w:pPr>
        <w:pStyle w:val="ListParagraph"/>
        <w:numPr>
          <w:ilvl w:val="0"/>
          <w:numId w:val="2"/>
        </w:numPr>
      </w:pPr>
      <w:r>
        <w:rPr>
          <w:rFonts w:ascii="Arial" w:cs="Arial" w:eastAsia="Arial" w:hAnsi="Arial"/>
          <w:i/>
          <w:iCs/>
          <w:sz w:val="24"/>
          <w:szCs w:val="24"/>
        </w:rPr>
        <w:t xml:space="preserve">Which experimental validation studies should be prioritized first?</w:t>
      </w:r>
    </w:p>
    <w:p>
      <w:pPr>
        <w:pStyle w:val="ListParagraph"/>
        <w:numPr>
          <w:ilvl w:val="0"/>
          <w:numId w:val="2"/>
        </w:numPr>
      </w:pPr>
      <w:r>
        <w:rPr>
          <w:rFonts w:ascii="Arial" w:cs="Arial" w:eastAsia="Arial" w:hAnsi="Arial"/>
          <w:i/>
          <w:iCs/>
          <w:sz w:val="24"/>
          <w:szCs w:val="24"/>
        </w:rPr>
        <w:t xml:space="preserve">How should we structure the ASO development program (lead + backup candidates)?</w:t>
      </w:r>
    </w:p>
    <w:p>
      <w:pPr>
        <w:pStyle w:val="ListParagraph"/>
        <w:numPr>
          <w:ilvl w:val="0"/>
          <w:numId w:val="2"/>
        </w:numPr>
      </w:pPr>
      <w:r>
        <w:rPr>
          <w:rFonts w:ascii="Arial" w:cs="Arial" w:eastAsia="Arial" w:hAnsi="Arial"/>
          <w:i/>
          <w:iCs/>
          <w:sz w:val="24"/>
          <w:szCs w:val="24"/>
        </w:rPr>
        <w:t xml:space="preserve">What partnerships or external collaborations would accelerate development?</w:t>
      </w:r>
    </w:p>
    <w:p>
      <w:pPr>
        <w:pStyle w:val="ListParagraph"/>
        <w:numPr>
          <w:ilvl w:val="0"/>
          <w:numId w:val="2"/>
        </w:numPr>
      </w:pPr>
      <w:r>
        <w:rPr>
          <w:rFonts w:ascii="Arial" w:cs="Arial" w:eastAsia="Arial" w:hAnsi="Arial"/>
          <w:i/>
          <w:iCs/>
          <w:sz w:val="24"/>
          <w:szCs w:val="24"/>
        </w:rPr>
        <w:t xml:space="preserve">What are the key decision gates and go/no-go criteria?</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Final prioritized ASO candidate list with development roadmaps</w:t>
      </w:r>
    </w:p>
    <w:p>
      <w:pPr>
        <w:pStyle w:val="ListParagraph"/>
        <w:numPr>
          <w:ilvl w:val="0"/>
          <w:numId w:val="2"/>
        </w:numPr>
      </w:pPr>
      <w:r>
        <w:rPr>
          <w:rFonts w:ascii="Arial" w:cs="Arial" w:eastAsia="Arial" w:hAnsi="Arial"/>
          <w:sz w:val="24"/>
          <w:szCs w:val="24"/>
        </w:rPr>
        <w:t xml:space="preserve">Detailed ASO design specifications and synthesis guidance</w:t>
      </w:r>
    </w:p>
    <w:p>
      <w:pPr>
        <w:pStyle w:val="ListParagraph"/>
        <w:numPr>
          <w:ilvl w:val="0"/>
          <w:numId w:val="2"/>
        </w:numPr>
      </w:pPr>
      <w:r>
        <w:rPr>
          <w:rFonts w:ascii="Arial" w:cs="Arial" w:eastAsia="Arial" w:hAnsi="Arial"/>
          <w:sz w:val="24"/>
          <w:szCs w:val="24"/>
        </w:rPr>
        <w:t xml:space="preserve">Experimental validation protocols and success criteria</w:t>
      </w:r>
    </w:p>
    <w:p>
      <w:pPr>
        <w:pStyle w:val="ListParagraph"/>
        <w:numPr>
          <w:ilvl w:val="0"/>
          <w:numId w:val="2"/>
        </w:numPr>
      </w:pPr>
      <w:r>
        <w:rPr>
          <w:rFonts w:ascii="Arial" w:cs="Arial" w:eastAsia="Arial" w:hAnsi="Arial"/>
          <w:sz w:val="24"/>
          <w:szCs w:val="24"/>
        </w:rPr>
        <w:t xml:space="preserve">Regulatory pathway recommendations and milestone schedules</w:t>
      </w:r>
    </w:p>
    <w:p>
      <w:pPr>
        <w:pStyle w:val="ListParagraph"/>
        <w:numPr>
          <w:ilvl w:val="0"/>
          <w:numId w:val="2"/>
        </w:numPr>
      </w:pPr>
      <w:r>
        <w:rPr>
          <w:rFonts w:ascii="Arial" w:cs="Arial" w:eastAsia="Arial" w:hAnsi="Arial"/>
          <w:sz w:val="24"/>
          <w:szCs w:val="24"/>
        </w:rPr>
        <w:t xml:space="preserve">Stakeholder reports and executive presentations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Comprehensive delivery documents including development roadmaps and implementation guides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Ensembl Genome Browser - comprehensive gene annotation and structure</w:t>
      </w:r>
    </w:p>
    <w:p>
      <w:pPr>
        <w:pStyle w:val="ListParagraph"/>
        <w:numPr>
          <w:ilvl w:val="0"/>
          <w:numId w:val="2"/>
        </w:numPr>
      </w:pPr>
      <w:r>
        <w:rPr>
          <w:rFonts w:ascii="Arial" w:cs="Arial" w:eastAsia="Arial" w:hAnsi="Arial"/>
          <w:sz w:val="24"/>
          <w:szCs w:val="24"/>
        </w:rPr>
        <w:t xml:space="preserve">NCBI Gene and GenBank - sequence databases and variant information</w:t>
      </w:r>
    </w:p>
    <w:p>
      <w:pPr>
        <w:pStyle w:val="ListParagraph"/>
        <w:numPr>
          <w:ilvl w:val="0"/>
          <w:numId w:val="2"/>
        </w:numPr>
      </w:pPr>
      <w:r>
        <w:rPr>
          <w:rFonts w:ascii="Arial" w:cs="Arial" w:eastAsia="Arial" w:hAnsi="Arial"/>
          <w:sz w:val="24"/>
          <w:szCs w:val="24"/>
        </w:rPr>
        <w:t xml:space="preserve">RNAfold/mfold - secondary structure prediction for ASO design</w:t>
      </w:r>
    </w:p>
    <w:p>
      <w:pPr>
        <w:pStyle w:val="ListParagraph"/>
        <w:numPr>
          <w:ilvl w:val="0"/>
          <w:numId w:val="2"/>
        </w:numPr>
      </w:pPr>
      <w:r>
        <w:rPr>
          <w:rFonts w:ascii="Arial" w:cs="Arial" w:eastAsia="Arial" w:hAnsi="Arial"/>
          <w:sz w:val="24"/>
          <w:szCs w:val="24"/>
        </w:rPr>
        <w:t xml:space="preserve">GTEx Portal - tissue-specific expression validation</w:t>
      </w:r>
    </w:p>
    <w:p>
      <w:pPr>
        <w:pStyle w:val="ListParagraph"/>
        <w:numPr>
          <w:ilvl w:val="0"/>
          <w:numId w:val="2"/>
        </w:numPr>
      </w:pPr>
      <w:r>
        <w:rPr>
          <w:rFonts w:ascii="Arial" w:cs="Arial" w:eastAsia="Arial" w:hAnsi="Arial"/>
          <w:sz w:val="24"/>
          <w:szCs w:val="24"/>
        </w:rPr>
        <w:t xml:space="preserve">Allen Brain Atlas - spatially-resolved neuronal expression</w:t>
      </w:r>
    </w:p>
    <w:p>
      <w:pPr>
        <w:pStyle w:val="ListParagraph"/>
        <w:numPr>
          <w:ilvl w:val="0"/>
          <w:numId w:val="2"/>
        </w:numPr>
      </w:pPr>
      <w:r>
        <w:rPr>
          <w:rFonts w:ascii="Arial" w:cs="Arial" w:eastAsia="Arial" w:hAnsi="Arial"/>
          <w:sz w:val="24"/>
          <w:szCs w:val="24"/>
        </w:rPr>
        <w:t xml:space="preserve">FDA CBER database - ASO approval and regulatory information</w:t>
      </w:r>
    </w:p>
    <w:p>
      <w:pPr>
        <w:pStyle w:val="ListParagraph"/>
        <w:numPr>
          <w:ilvl w:val="0"/>
          <w:numId w:val="2"/>
        </w:numPr>
      </w:pPr>
      <w:r>
        <w:rPr>
          <w:rFonts w:ascii="Arial" w:cs="Arial" w:eastAsia="Arial" w:hAnsi="Arial"/>
          <w:sz w:val="24"/>
          <w:szCs w:val="24"/>
        </w:rPr>
        <w:t xml:space="preserve">Cortellis - ASO pipeline and competitive landscape</w:t>
      </w:r>
    </w:p>
    <w:p>
      <w:pPr>
        <w:pStyle w:val="ListParagraph"/>
        <w:numPr>
          <w:ilvl w:val="0"/>
          <w:numId w:val="2"/>
        </w:numPr>
      </w:pPr>
      <w:r>
        <w:rPr>
          <w:rFonts w:ascii="Arial" w:cs="Arial" w:eastAsia="Arial" w:hAnsi="Arial"/>
          <w:sz w:val="24"/>
          <w:szCs w:val="24"/>
        </w:rPr>
        <w:t xml:space="preserve">GlobalData - therapeutic landscape and market intelligence</w:t>
      </w:r>
    </w:p>
    <w:p>
      <w:pPr>
        <w:pStyle w:val="ListParagraph"/>
        <w:numPr>
          <w:ilvl w:val="0"/>
          <w:numId w:val="2"/>
        </w:numPr>
      </w:pPr>
      <w:r>
        <w:rPr>
          <w:rFonts w:ascii="Arial" w:cs="Arial" w:eastAsia="Arial" w:hAnsi="Arial"/>
          <w:sz w:val="24"/>
          <w:szCs w:val="24"/>
        </w:rPr>
        <w:t xml:space="preserve">ClinicalTrials.gov - ASO trial data and efficacy information</w:t>
      </w:r>
    </w:p>
    <w:p>
      <w:pPr>
        <w:pStyle w:val="ListParagraph"/>
        <w:numPr>
          <w:ilvl w:val="0"/>
          <w:numId w:val="2"/>
        </w:numPr>
      </w:pPr>
      <w:r>
        <w:rPr>
          <w:rFonts w:ascii="Arial" w:cs="Arial" w:eastAsia="Arial" w:hAnsi="Arial"/>
          <w:sz w:val="24"/>
          <w:szCs w:val="24"/>
        </w:rPr>
        <w:t xml:space="preserve">Google Patents/Espacenet - intellectual property landscape</w:t>
      </w:r>
    </w:p>
    <w:p>
      <w:pPr>
        <w:pStyle w:val="ListParagraph"/>
        <w:numPr>
          <w:ilvl w:val="0"/>
          <w:numId w:val="2"/>
        </w:numPr>
      </w:pPr>
      <w:r>
        <w:rPr>
          <w:rFonts w:ascii="Arial" w:cs="Arial" w:eastAsia="Arial" w:hAnsi="Arial"/>
          <w:sz w:val="24"/>
          <w:szCs w:val="24"/>
        </w:rPr>
        <w:t xml:space="preserve">PubMed - peer-reviewed literature on ASO design principles</w:t>
      </w:r>
    </w:p>
    <w:p>
      <w:pPr>
        <w:pStyle w:val="ListParagraph"/>
        <w:numPr>
          <w:ilvl w:val="0"/>
          <w:numId w:val="2"/>
        </w:numPr>
      </w:pPr>
      <w:r>
        <w:rPr>
          <w:rFonts w:ascii="Arial" w:cs="Arial" w:eastAsia="Arial" w:hAnsi="Arial"/>
          <w:sz w:val="24"/>
          <w:szCs w:val="24"/>
        </w:rPr>
        <w:t xml:space="preserve">BBB prediction tools - blood-brain barrier penetration modeling</w:t>
      </w:r>
    </w:p>
    <w:p>
      <w:pPr>
        <w:pStyle w:val="ListParagraph"/>
        <w:numPr>
          <w:ilvl w:val="0"/>
          <w:numId w:val="2"/>
        </w:numPr>
      </w:pPr>
      <w:r>
        <w:rPr>
          <w:rFonts w:ascii="Arial" w:cs="Arial" w:eastAsia="Arial" w:hAnsi="Arial"/>
          <w:sz w:val="24"/>
          <w:szCs w:val="24"/>
        </w:rPr>
        <w:t xml:space="preserve">Pharmaprojects - competitive intelligence and pipeline tracking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2026-03-25T18:45:00.931Z</dcterms:created>
  <dcterms:modified xsi:type="dcterms:W3CDTF">2026-03-25T18:45:00.931Z</dcterms:modified>
</cp:coreProperties>
</file>

<file path=docProps/custom.xml><?xml version="1.0" encoding="utf-8"?>
<Properties xmlns="http://schemas.openxmlformats.org/officeDocument/2006/custom-properties" xmlns:vt="http://schemas.openxmlformats.org/officeDocument/2006/docPropsVTypes"/>
</file>