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#058: Modality Selection and Biological Target Class Analysis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Query the Angelini functional cluster data to assess which common nodes are most amenable to small molecule intervention versus biologics (antibodies, peptides, enzymes) by analyzing the target class distribution (GPCRs, kinases, ion channels, enzymes, protein-protein interactions) within each cluster.</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Systematically evaluate optimal therapeutic modality (small molecule, antibody, peptide, enzyme, etc.) for each Angelini cluster based on target class distribution and biological characteristics.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integration of target class biology with modality-specific considerations.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Classify Angelini cluster targets by target class and biological properties.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functional cluster gene assignments</w:t>
      </w:r>
    </w:p>
    <w:p>
      <w:pPr>
        <w:pStyle w:val="ListParagraph"/>
        <w:numPr>
          <w:ilvl w:val="0"/>
          <w:numId w:val="2"/>
        </w:numPr>
      </w:pPr>
      <w:r>
        <w:rPr>
          <w:rFonts w:ascii="Arial" w:cs="Arial" w:eastAsia="Arial" w:hAnsi="Arial"/>
          <w:sz w:val="24"/>
          <w:szCs w:val="24"/>
        </w:rPr>
        <w:t xml:space="preserve">Protein class annotation and structural features</w:t>
      </w:r>
    </w:p>
    <w:p>
      <w:pPr>
        <w:pStyle w:val="ListParagraph"/>
        <w:numPr>
          <w:ilvl w:val="0"/>
          <w:numId w:val="2"/>
        </w:numPr>
      </w:pPr>
      <w:r>
        <w:rPr>
          <w:rFonts w:ascii="Arial" w:cs="Arial" w:eastAsia="Arial" w:hAnsi="Arial"/>
          <w:sz w:val="24"/>
          <w:szCs w:val="24"/>
        </w:rPr>
        <w:t xml:space="preserve">Target class distribution across clusters</w:t>
      </w:r>
    </w:p>
    <w:p>
      <w:pPr>
        <w:pStyle w:val="ListParagraph"/>
        <w:numPr>
          <w:ilvl w:val="0"/>
          <w:numId w:val="2"/>
        </w:numPr>
      </w:pPr>
      <w:r>
        <w:rPr>
          <w:rFonts w:ascii="Arial" w:cs="Arial" w:eastAsia="Arial" w:hAnsi="Arial"/>
          <w:sz w:val="24"/>
          <w:szCs w:val="24"/>
        </w:rPr>
        <w:t xml:space="preserve">Cellular localization and accessibility information</w:t>
      </w:r>
    </w:p>
    <w:p>
      <w:pPr>
        <w:pStyle w:val="ListParagraph"/>
        <w:numPr>
          <w:ilvl w:val="0"/>
          <w:numId w:val="2"/>
        </w:numPr>
      </w:pPr>
      <w:r>
        <w:rPr>
          <w:rFonts w:ascii="Arial" w:cs="Arial" w:eastAsia="Arial" w:hAnsi="Arial"/>
          <w:sz w:val="24"/>
          <w:szCs w:val="24"/>
        </w:rPr>
        <w:t xml:space="preserve">Known drugging success rates by target class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UniProt - protein classification and feature information</w:t>
      </w:r>
    </w:p>
    <w:p>
      <w:pPr>
        <w:pStyle w:val="ListParagraph"/>
        <w:numPr>
          <w:ilvl w:val="0"/>
          <w:numId w:val="2"/>
        </w:numPr>
      </w:pPr>
      <w:r>
        <w:rPr>
          <w:rFonts w:ascii="Arial" w:cs="Arial" w:eastAsia="Arial" w:hAnsi="Arial"/>
          <w:sz w:val="24"/>
          <w:szCs w:val="24"/>
        </w:rPr>
        <w:t xml:space="preserve">IUPHAR/BPS - target class and pharmacology database</w:t>
      </w:r>
    </w:p>
    <w:p>
      <w:pPr>
        <w:pStyle w:val="ListParagraph"/>
        <w:numPr>
          <w:ilvl w:val="0"/>
          <w:numId w:val="2"/>
        </w:numPr>
      </w:pPr>
      <w:r>
        <w:rPr>
          <w:rFonts w:ascii="Arial" w:cs="Arial" w:eastAsia="Arial" w:hAnsi="Arial"/>
          <w:sz w:val="24"/>
          <w:szCs w:val="24"/>
        </w:rPr>
        <w:t xml:space="preserve">InterPro - protein domain and family classification</w:t>
      </w:r>
    </w:p>
    <w:p>
      <w:pPr>
        <w:pStyle w:val="ListParagraph"/>
        <w:numPr>
          <w:ilvl w:val="0"/>
          <w:numId w:val="2"/>
        </w:numPr>
      </w:pPr>
      <w:r>
        <w:rPr>
          <w:rFonts w:ascii="Arial" w:cs="Arial" w:eastAsia="Arial" w:hAnsi="Arial"/>
          <w:sz w:val="24"/>
          <w:szCs w:val="24"/>
        </w:rPr>
        <w:t xml:space="preserve">Gene Ontology - biological process and cellular component annotation</w:t>
      </w:r>
    </w:p>
    <w:p>
      <w:pPr>
        <w:pStyle w:val="ListParagraph"/>
        <w:numPr>
          <w:ilvl w:val="0"/>
          <w:numId w:val="2"/>
        </w:numPr>
      </w:pPr>
      <w:r>
        <w:rPr>
          <w:rFonts w:ascii="Arial" w:cs="Arial" w:eastAsia="Arial" w:hAnsi="Arial"/>
          <w:sz w:val="24"/>
          <w:szCs w:val="24"/>
        </w:rPr>
        <w:t xml:space="preserve">Target class-specific review literature</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target class distribution within each Angelini cluster?</w:t>
      </w:r>
    </w:p>
    <w:p>
      <w:pPr>
        <w:pStyle w:val="ListParagraph"/>
        <w:numPr>
          <w:ilvl w:val="0"/>
          <w:numId w:val="2"/>
        </w:numPr>
      </w:pPr>
      <w:r>
        <w:rPr>
          <w:rFonts w:ascii="Arial" w:cs="Arial" w:eastAsia="Arial" w:hAnsi="Arial"/>
          <w:i/>
          <w:iCs/>
          <w:sz w:val="24"/>
          <w:szCs w:val="24"/>
        </w:rPr>
        <w:t xml:space="preserve">How many GPCRs, kinases, ion channels, enzymes, and other targets per cluster?</w:t>
      </w:r>
    </w:p>
    <w:p>
      <w:pPr>
        <w:pStyle w:val="ListParagraph"/>
        <w:numPr>
          <w:ilvl w:val="0"/>
          <w:numId w:val="2"/>
        </w:numPr>
      </w:pPr>
      <w:r>
        <w:rPr>
          <w:rFonts w:ascii="Arial" w:cs="Arial" w:eastAsia="Arial" w:hAnsi="Arial"/>
          <w:i/>
          <w:iCs/>
          <w:sz w:val="24"/>
          <w:szCs w:val="24"/>
        </w:rPr>
        <w:t xml:space="preserve">Are targets membrane-bound, cytoplasmic, or nuclear?</w:t>
      </w:r>
    </w:p>
    <w:p>
      <w:pPr>
        <w:pStyle w:val="ListParagraph"/>
        <w:numPr>
          <w:ilvl w:val="0"/>
          <w:numId w:val="2"/>
        </w:numPr>
      </w:pPr>
      <w:r>
        <w:rPr>
          <w:rFonts w:ascii="Arial" w:cs="Arial" w:eastAsia="Arial" w:hAnsi="Arial"/>
          <w:i/>
          <w:iCs/>
          <w:sz w:val="24"/>
          <w:szCs w:val="24"/>
        </w:rPr>
        <w:t xml:space="preserve">What protein domains and structural features characterize targets?</w:t>
      </w:r>
    </w:p>
    <w:p>
      <w:pPr>
        <w:pStyle w:val="ListParagraph"/>
        <w:numPr>
          <w:ilvl w:val="0"/>
          <w:numId w:val="2"/>
        </w:numPr>
      </w:pPr>
      <w:r>
        <w:rPr>
          <w:rFonts w:ascii="Arial" w:cs="Arial" w:eastAsia="Arial" w:hAnsi="Arial"/>
          <w:i/>
          <w:iCs/>
          <w:sz w:val="24"/>
          <w:szCs w:val="24"/>
        </w:rPr>
        <w:t xml:space="preserve">What is the historical drugging success for each target class?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Target class distribution matrices per cluster</w:t>
      </w:r>
    </w:p>
    <w:p>
      <w:pPr>
        <w:pStyle w:val="ListParagraph"/>
        <w:numPr>
          <w:ilvl w:val="0"/>
          <w:numId w:val="2"/>
        </w:numPr>
      </w:pPr>
      <w:r>
        <w:rPr>
          <w:rFonts w:ascii="Arial" w:cs="Arial" w:eastAsia="Arial" w:hAnsi="Arial"/>
          <w:sz w:val="24"/>
          <w:szCs w:val="24"/>
        </w:rPr>
        <w:t xml:space="preserve">Cellular localization and accessibility assessments</w:t>
      </w:r>
    </w:p>
    <w:p>
      <w:pPr>
        <w:pStyle w:val="ListParagraph"/>
        <w:numPr>
          <w:ilvl w:val="0"/>
          <w:numId w:val="2"/>
        </w:numPr>
      </w:pPr>
      <w:r>
        <w:rPr>
          <w:rFonts w:ascii="Arial" w:cs="Arial" w:eastAsia="Arial" w:hAnsi="Arial"/>
          <w:sz w:val="24"/>
          <w:szCs w:val="24"/>
        </w:rPr>
        <w:t xml:space="preserve">Structural feature and domain analysis</w:t>
      </w:r>
    </w:p>
    <w:p>
      <w:pPr>
        <w:pStyle w:val="ListParagraph"/>
        <w:numPr>
          <w:ilvl w:val="0"/>
          <w:numId w:val="2"/>
        </w:numPr>
      </w:pPr>
      <w:r>
        <w:rPr>
          <w:rFonts w:ascii="Arial" w:cs="Arial" w:eastAsia="Arial" w:hAnsi="Arial"/>
          <w:sz w:val="24"/>
          <w:szCs w:val="24"/>
        </w:rPr>
        <w:t xml:space="preserve">Historical drugging success rates by target class</w:t>
      </w:r>
    </w:p>
    <w:p>
      <w:pPr>
        <w:pStyle w:val="ListParagraph"/>
        <w:numPr>
          <w:ilvl w:val="0"/>
          <w:numId w:val="2"/>
        </w:numPr>
      </w:pPr>
      <w:r>
        <w:rPr>
          <w:rFonts w:ascii="Arial" w:cs="Arial" w:eastAsia="Arial" w:hAnsi="Arial"/>
          <w:sz w:val="24"/>
          <w:szCs w:val="24"/>
        </w:rPr>
        <w:t xml:space="preserve">Target class-specific considerations and constraints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Annotated target class distribution databases with structural annotations</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Evaluate small molecule druggability for target classes.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Target class and structural property assessments</w:t>
      </w:r>
    </w:p>
    <w:p>
      <w:pPr>
        <w:pStyle w:val="ListParagraph"/>
        <w:numPr>
          <w:ilvl w:val="0"/>
          <w:numId w:val="2"/>
        </w:numPr>
      </w:pPr>
      <w:r>
        <w:rPr>
          <w:rFonts w:ascii="Arial" w:cs="Arial" w:eastAsia="Arial" w:hAnsi="Arial"/>
          <w:sz w:val="24"/>
          <w:szCs w:val="24"/>
        </w:rPr>
        <w:t xml:space="preserve">Small molecule binding site accessibility and chemistry</w:t>
      </w:r>
    </w:p>
    <w:p>
      <w:pPr>
        <w:pStyle w:val="ListParagraph"/>
        <w:numPr>
          <w:ilvl w:val="0"/>
          <w:numId w:val="2"/>
        </w:numPr>
      </w:pPr>
      <w:r>
        <w:rPr>
          <w:rFonts w:ascii="Arial" w:cs="Arial" w:eastAsia="Arial" w:hAnsi="Arial"/>
          <w:sz w:val="24"/>
          <w:szCs w:val="24"/>
        </w:rPr>
        <w:t xml:space="preserve">Ligand-binding site properties and optimization constraints</w:t>
      </w:r>
    </w:p>
    <w:p>
      <w:pPr>
        <w:pStyle w:val="ListParagraph"/>
        <w:numPr>
          <w:ilvl w:val="0"/>
          <w:numId w:val="2"/>
        </w:numPr>
      </w:pPr>
      <w:r>
        <w:rPr>
          <w:rFonts w:ascii="Arial" w:cs="Arial" w:eastAsia="Arial" w:hAnsi="Arial"/>
          <w:sz w:val="24"/>
          <w:szCs w:val="24"/>
        </w:rPr>
        <w:t xml:space="preserve">Known small molecule modalities and precedent (inhibitors, activators, etc.)</w:t>
      </w:r>
    </w:p>
    <w:p>
      <w:pPr>
        <w:pStyle w:val="ListParagraph"/>
        <w:numPr>
          <w:ilvl w:val="0"/>
          <w:numId w:val="2"/>
        </w:numPr>
      </w:pPr>
      <w:r>
        <w:rPr>
          <w:rFonts w:ascii="Arial" w:cs="Arial" w:eastAsia="Arial" w:hAnsi="Arial"/>
          <w:sz w:val="24"/>
          <w:szCs w:val="24"/>
        </w:rPr>
        <w:t xml:space="preserve">Cellular uptake and target engagement requirements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Druggability assessment tools and scores</w:t>
      </w:r>
    </w:p>
    <w:p>
      <w:pPr>
        <w:pStyle w:val="ListParagraph"/>
        <w:numPr>
          <w:ilvl w:val="0"/>
          <w:numId w:val="2"/>
        </w:numPr>
      </w:pPr>
      <w:r>
        <w:rPr>
          <w:rFonts w:ascii="Arial" w:cs="Arial" w:eastAsia="Arial" w:hAnsi="Arial"/>
          <w:sz w:val="24"/>
          <w:szCs w:val="24"/>
        </w:rPr>
        <w:t xml:space="preserve">SMILES and structure property calculation tools</w:t>
      </w:r>
    </w:p>
    <w:p>
      <w:pPr>
        <w:pStyle w:val="ListParagraph"/>
        <w:numPr>
          <w:ilvl w:val="0"/>
          <w:numId w:val="2"/>
        </w:numPr>
      </w:pPr>
      <w:r>
        <w:rPr>
          <w:rFonts w:ascii="Arial" w:cs="Arial" w:eastAsia="Arial" w:hAnsi="Arial"/>
          <w:sz w:val="24"/>
          <w:szCs w:val="24"/>
        </w:rPr>
        <w:t xml:space="preserve">Binding site prediction and characterization tools</w:t>
      </w:r>
    </w:p>
    <w:p>
      <w:pPr>
        <w:pStyle w:val="ListParagraph"/>
        <w:numPr>
          <w:ilvl w:val="0"/>
          <w:numId w:val="2"/>
        </w:numPr>
      </w:pPr>
      <w:r>
        <w:rPr>
          <w:rFonts w:ascii="Arial" w:cs="Arial" w:eastAsia="Arial" w:hAnsi="Arial"/>
          <w:sz w:val="24"/>
          <w:szCs w:val="24"/>
        </w:rPr>
        <w:t xml:space="preserve">ChEMBL and PubChem small molecule databases</w:t>
      </w:r>
    </w:p>
    <w:p>
      <w:pPr>
        <w:pStyle w:val="ListParagraph"/>
        <w:numPr>
          <w:ilvl w:val="0"/>
          <w:numId w:val="2"/>
        </w:numPr>
      </w:pPr>
      <w:r>
        <w:rPr>
          <w:rFonts w:ascii="Arial" w:cs="Arial" w:eastAsia="Arial" w:hAnsi="Arial"/>
          <w:sz w:val="24"/>
          <w:szCs w:val="24"/>
        </w:rPr>
        <w:t xml:space="preserve">Precedent and historical small molecule success databases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target classes are most amenable to small molecule inhibitors?</w:t>
      </w:r>
    </w:p>
    <w:p>
      <w:pPr>
        <w:pStyle w:val="ListParagraph"/>
        <w:numPr>
          <w:ilvl w:val="0"/>
          <w:numId w:val="2"/>
        </w:numPr>
      </w:pPr>
      <w:r>
        <w:rPr>
          <w:rFonts w:ascii="Arial" w:cs="Arial" w:eastAsia="Arial" w:hAnsi="Arial"/>
          <w:i/>
          <w:iCs/>
          <w:sz w:val="24"/>
          <w:szCs w:val="24"/>
        </w:rPr>
        <w:t xml:space="preserve">Are there allosteric small molecule opportunities vs. orthosteric?</w:t>
      </w:r>
    </w:p>
    <w:p>
      <w:pPr>
        <w:pStyle w:val="ListParagraph"/>
        <w:numPr>
          <w:ilvl w:val="0"/>
          <w:numId w:val="2"/>
        </w:numPr>
      </w:pPr>
      <w:r>
        <w:rPr>
          <w:rFonts w:ascii="Arial" w:cs="Arial" w:eastAsia="Arial" w:hAnsi="Arial"/>
          <w:i/>
          <w:iCs/>
          <w:sz w:val="24"/>
          <w:szCs w:val="24"/>
        </w:rPr>
        <w:t xml:space="preserve">What are the solubility and cell permeability constraints?</w:t>
      </w:r>
    </w:p>
    <w:p>
      <w:pPr>
        <w:pStyle w:val="ListParagraph"/>
        <w:numPr>
          <w:ilvl w:val="0"/>
          <w:numId w:val="2"/>
        </w:numPr>
      </w:pPr>
      <w:r>
        <w:rPr>
          <w:rFonts w:ascii="Arial" w:cs="Arial" w:eastAsia="Arial" w:hAnsi="Arial"/>
          <w:i/>
          <w:iCs/>
          <w:sz w:val="24"/>
          <w:szCs w:val="24"/>
        </w:rPr>
        <w:t xml:space="preserve">How do target classes differ in small molecule optimization speed?</w:t>
      </w:r>
    </w:p>
    <w:p>
      <w:pPr>
        <w:pStyle w:val="ListParagraph"/>
        <w:numPr>
          <w:ilvl w:val="0"/>
          <w:numId w:val="2"/>
        </w:numPr>
      </w:pPr>
      <w:r>
        <w:rPr>
          <w:rFonts w:ascii="Arial" w:cs="Arial" w:eastAsia="Arial" w:hAnsi="Arial"/>
          <w:i/>
          <w:iCs/>
          <w:sz w:val="24"/>
          <w:szCs w:val="24"/>
        </w:rPr>
        <w:t xml:space="preserve">What are the safety and off-target risks for small molecule approaches?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Small molecule druggability scoring per target and cluster</w:t>
      </w:r>
    </w:p>
    <w:p>
      <w:pPr>
        <w:pStyle w:val="ListParagraph"/>
        <w:numPr>
          <w:ilvl w:val="0"/>
          <w:numId w:val="2"/>
        </w:numPr>
      </w:pPr>
      <w:r>
        <w:rPr>
          <w:rFonts w:ascii="Arial" w:cs="Arial" w:eastAsia="Arial" w:hAnsi="Arial"/>
          <w:sz w:val="24"/>
          <w:szCs w:val="24"/>
        </w:rPr>
        <w:t xml:space="preserve">Binding site chemistry and optimization constraint analysis</w:t>
      </w:r>
    </w:p>
    <w:p>
      <w:pPr>
        <w:pStyle w:val="ListParagraph"/>
        <w:numPr>
          <w:ilvl w:val="0"/>
          <w:numId w:val="2"/>
        </w:numPr>
      </w:pPr>
      <w:r>
        <w:rPr>
          <w:rFonts w:ascii="Arial" w:cs="Arial" w:eastAsia="Arial" w:hAnsi="Arial"/>
          <w:sz w:val="24"/>
          <w:szCs w:val="24"/>
        </w:rPr>
        <w:t xml:space="preserve">Cell permeability and pharmacokinetic property assessment</w:t>
      </w:r>
    </w:p>
    <w:p>
      <w:pPr>
        <w:pStyle w:val="ListParagraph"/>
        <w:numPr>
          <w:ilvl w:val="0"/>
          <w:numId w:val="2"/>
        </w:numPr>
      </w:pPr>
      <w:r>
        <w:rPr>
          <w:rFonts w:ascii="Arial" w:cs="Arial" w:eastAsia="Arial" w:hAnsi="Arial"/>
          <w:sz w:val="24"/>
          <w:szCs w:val="24"/>
        </w:rPr>
        <w:t xml:space="preserve">Small molecule modality recommendations (inhibitors, activators, etc.)</w:t>
      </w:r>
    </w:p>
    <w:p>
      <w:pPr>
        <w:pStyle w:val="ListParagraph"/>
        <w:numPr>
          <w:ilvl w:val="0"/>
          <w:numId w:val="2"/>
        </w:numPr>
      </w:pPr>
      <w:r>
        <w:rPr>
          <w:rFonts w:ascii="Arial" w:cs="Arial" w:eastAsia="Arial" w:hAnsi="Arial"/>
          <w:sz w:val="24"/>
          <w:szCs w:val="24"/>
        </w:rPr>
        <w:t xml:space="preserve">Precedent and success probability for small molecule approaches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Small molecule druggability assessments with modality recommendations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Evaluate antibody and protein therapeutic modality suitability.</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Target class and protein structural features</w:t>
      </w:r>
    </w:p>
    <w:p>
      <w:pPr>
        <w:pStyle w:val="ListParagraph"/>
        <w:numPr>
          <w:ilvl w:val="0"/>
          <w:numId w:val="2"/>
        </w:numPr>
      </w:pPr>
      <w:r>
        <w:rPr>
          <w:rFonts w:ascii="Arial" w:cs="Arial" w:eastAsia="Arial" w:hAnsi="Arial"/>
          <w:sz w:val="24"/>
          <w:szCs w:val="24"/>
        </w:rPr>
        <w:t xml:space="preserve">Extracellular accessibility and epitope availability</w:t>
      </w:r>
    </w:p>
    <w:p>
      <w:pPr>
        <w:pStyle w:val="ListParagraph"/>
        <w:numPr>
          <w:ilvl w:val="0"/>
          <w:numId w:val="2"/>
        </w:numPr>
      </w:pPr>
      <w:r>
        <w:rPr>
          <w:rFonts w:ascii="Arial" w:cs="Arial" w:eastAsia="Arial" w:hAnsi="Arial"/>
          <w:sz w:val="24"/>
          <w:szCs w:val="24"/>
        </w:rPr>
        <w:t xml:space="preserve">Target antigenicity and immunogenicity considerations</w:t>
      </w:r>
    </w:p>
    <w:p>
      <w:pPr>
        <w:pStyle w:val="ListParagraph"/>
        <w:numPr>
          <w:ilvl w:val="0"/>
          <w:numId w:val="2"/>
        </w:numPr>
      </w:pPr>
      <w:r>
        <w:rPr>
          <w:rFonts w:ascii="Arial" w:cs="Arial" w:eastAsia="Arial" w:hAnsi="Arial"/>
          <w:sz w:val="24"/>
          <w:szCs w:val="24"/>
        </w:rPr>
        <w:t xml:space="preserve">Antibody precedent and successful targets for mAbs</w:t>
      </w:r>
    </w:p>
    <w:p>
      <w:pPr>
        <w:pStyle w:val="ListParagraph"/>
        <w:numPr>
          <w:ilvl w:val="0"/>
          <w:numId w:val="2"/>
        </w:numPr>
      </w:pPr>
      <w:r>
        <w:rPr>
          <w:rFonts w:ascii="Arial" w:cs="Arial" w:eastAsia="Arial" w:hAnsi="Arial"/>
          <w:sz w:val="24"/>
          <w:szCs w:val="24"/>
        </w:rPr>
        <w:t xml:space="preserve">Protein-protein interaction targetability</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Epitope prediction and antibody target databases</w:t>
      </w:r>
    </w:p>
    <w:p>
      <w:pPr>
        <w:pStyle w:val="ListParagraph"/>
        <w:numPr>
          <w:ilvl w:val="0"/>
          <w:numId w:val="2"/>
        </w:numPr>
      </w:pPr>
      <w:r>
        <w:rPr>
          <w:rFonts w:ascii="Arial" w:cs="Arial" w:eastAsia="Arial" w:hAnsi="Arial"/>
          <w:sz w:val="24"/>
          <w:szCs w:val="24"/>
        </w:rPr>
        <w:t xml:space="preserve">Target class-specific antibody precedent (Cortellis, GlobalData)</w:t>
      </w:r>
    </w:p>
    <w:p>
      <w:pPr>
        <w:pStyle w:val="ListParagraph"/>
        <w:numPr>
          <w:ilvl w:val="0"/>
          <w:numId w:val="2"/>
        </w:numPr>
      </w:pPr>
      <w:r>
        <w:rPr>
          <w:rFonts w:ascii="Arial" w:cs="Arial" w:eastAsia="Arial" w:hAnsi="Arial"/>
          <w:sz w:val="24"/>
          <w:szCs w:val="24"/>
        </w:rPr>
        <w:t xml:space="preserve">PDB and structural information for epitope mapping</w:t>
      </w:r>
    </w:p>
    <w:p>
      <w:pPr>
        <w:pStyle w:val="ListParagraph"/>
        <w:numPr>
          <w:ilvl w:val="0"/>
          <w:numId w:val="2"/>
        </w:numPr>
      </w:pPr>
      <w:r>
        <w:rPr>
          <w:rFonts w:ascii="Arial" w:cs="Arial" w:eastAsia="Arial" w:hAnsi="Arial"/>
          <w:sz w:val="24"/>
          <w:szCs w:val="24"/>
        </w:rPr>
        <w:t xml:space="preserve">AlphaFold predictions for antibody epitope design</w:t>
      </w:r>
    </w:p>
    <w:p>
      <w:pPr>
        <w:pStyle w:val="ListParagraph"/>
        <w:numPr>
          <w:ilvl w:val="0"/>
          <w:numId w:val="2"/>
        </w:numPr>
      </w:pPr>
      <w:r>
        <w:rPr>
          <w:rFonts w:ascii="Arial" w:cs="Arial" w:eastAsia="Arial" w:hAnsi="Arial"/>
          <w:sz w:val="24"/>
          <w:szCs w:val="24"/>
        </w:rPr>
        <w:t xml:space="preserve">Immunogenicity prediction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targets are well-suited for monoclonal antibody targeting?</w:t>
      </w:r>
    </w:p>
    <w:p>
      <w:pPr>
        <w:pStyle w:val="ListParagraph"/>
        <w:numPr>
          <w:ilvl w:val="0"/>
          <w:numId w:val="2"/>
        </w:numPr>
      </w:pPr>
      <w:r>
        <w:rPr>
          <w:rFonts w:ascii="Arial" w:cs="Arial" w:eastAsia="Arial" w:hAnsi="Arial"/>
          <w:i/>
          <w:iCs/>
          <w:sz w:val="24"/>
          <w:szCs w:val="24"/>
        </w:rPr>
        <w:t xml:space="preserve">Are there soluble extracellular domains or epitopes?</w:t>
      </w:r>
    </w:p>
    <w:p>
      <w:pPr>
        <w:pStyle w:val="ListParagraph"/>
        <w:numPr>
          <w:ilvl w:val="0"/>
          <w:numId w:val="2"/>
        </w:numPr>
      </w:pPr>
      <w:r>
        <w:rPr>
          <w:rFonts w:ascii="Arial" w:cs="Arial" w:eastAsia="Arial" w:hAnsi="Arial"/>
          <w:i/>
          <w:iCs/>
          <w:sz w:val="24"/>
          <w:szCs w:val="24"/>
        </w:rPr>
        <w:t xml:space="preserve">What antibody modalities (mAb, bispecific, ADC) are feasible?</w:t>
      </w:r>
    </w:p>
    <w:p>
      <w:pPr>
        <w:pStyle w:val="ListParagraph"/>
        <w:numPr>
          <w:ilvl w:val="0"/>
          <w:numId w:val="2"/>
        </w:numPr>
      </w:pPr>
      <w:r>
        <w:rPr>
          <w:rFonts w:ascii="Arial" w:cs="Arial" w:eastAsia="Arial" w:hAnsi="Arial"/>
          <w:i/>
          <w:iCs/>
          <w:sz w:val="24"/>
          <w:szCs w:val="24"/>
        </w:rPr>
        <w:t xml:space="preserve">What is the immunogenicity risk for therapeutic antibodies?</w:t>
      </w:r>
    </w:p>
    <w:p>
      <w:pPr>
        <w:pStyle w:val="ListParagraph"/>
        <w:numPr>
          <w:ilvl w:val="0"/>
          <w:numId w:val="2"/>
        </w:numPr>
      </w:pPr>
      <w:r>
        <w:rPr>
          <w:rFonts w:ascii="Arial" w:cs="Arial" w:eastAsia="Arial" w:hAnsi="Arial"/>
          <w:i/>
          <w:iCs/>
          <w:sz w:val="24"/>
          <w:szCs w:val="24"/>
        </w:rPr>
        <w:t xml:space="preserve">Are there precedent antibody programs for similar targets?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Antibody target suitability and epitope availability assessment</w:t>
      </w:r>
    </w:p>
    <w:p>
      <w:pPr>
        <w:pStyle w:val="ListParagraph"/>
        <w:numPr>
          <w:ilvl w:val="0"/>
          <w:numId w:val="2"/>
        </w:numPr>
      </w:pPr>
      <w:r>
        <w:rPr>
          <w:rFonts w:ascii="Arial" w:cs="Arial" w:eastAsia="Arial" w:hAnsi="Arial"/>
          <w:sz w:val="24"/>
          <w:szCs w:val="24"/>
        </w:rPr>
        <w:t xml:space="preserve">Antibody modality options (mAb, bispecific, ADC, etc.)</w:t>
      </w:r>
    </w:p>
    <w:p>
      <w:pPr>
        <w:pStyle w:val="ListParagraph"/>
        <w:numPr>
          <w:ilvl w:val="0"/>
          <w:numId w:val="2"/>
        </w:numPr>
      </w:pPr>
      <w:r>
        <w:rPr>
          <w:rFonts w:ascii="Arial" w:cs="Arial" w:eastAsia="Arial" w:hAnsi="Arial"/>
          <w:sz w:val="24"/>
          <w:szCs w:val="24"/>
        </w:rPr>
        <w:t xml:space="preserve">Immunogenicity risk and mitigation strategies</w:t>
      </w:r>
    </w:p>
    <w:p>
      <w:pPr>
        <w:pStyle w:val="ListParagraph"/>
        <w:numPr>
          <w:ilvl w:val="0"/>
          <w:numId w:val="2"/>
        </w:numPr>
      </w:pPr>
      <w:r>
        <w:rPr>
          <w:rFonts w:ascii="Arial" w:cs="Arial" w:eastAsia="Arial" w:hAnsi="Arial"/>
          <w:sz w:val="24"/>
          <w:szCs w:val="24"/>
        </w:rPr>
        <w:t xml:space="preserve">Antibody precedent and regulatory pathway information</w:t>
      </w:r>
    </w:p>
    <w:p>
      <w:pPr>
        <w:pStyle w:val="ListParagraph"/>
        <w:numPr>
          <w:ilvl w:val="0"/>
          <w:numId w:val="2"/>
        </w:numPr>
      </w:pPr>
      <w:r>
        <w:rPr>
          <w:rFonts w:ascii="Arial" w:cs="Arial" w:eastAsia="Arial" w:hAnsi="Arial"/>
          <w:sz w:val="24"/>
          <w:szCs w:val="24"/>
        </w:rPr>
        <w:t xml:space="preserve">Timeline and feasibility for antibody development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Antibody modality suitability assessments with target recommendations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Evaluate peptide, enzyme, and other biologics modalities.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Target biological function and mechanism requirements</w:t>
      </w:r>
    </w:p>
    <w:p>
      <w:pPr>
        <w:pStyle w:val="ListParagraph"/>
        <w:numPr>
          <w:ilvl w:val="0"/>
          <w:numId w:val="2"/>
        </w:numPr>
      </w:pPr>
      <w:r>
        <w:rPr>
          <w:rFonts w:ascii="Arial" w:cs="Arial" w:eastAsia="Arial" w:hAnsi="Arial"/>
          <w:sz w:val="24"/>
          <w:szCs w:val="24"/>
        </w:rPr>
        <w:t xml:space="preserve">Peptide binding sites and engineered peptide precedent</w:t>
      </w:r>
    </w:p>
    <w:p>
      <w:pPr>
        <w:pStyle w:val="ListParagraph"/>
        <w:numPr>
          <w:ilvl w:val="0"/>
          <w:numId w:val="2"/>
        </w:numPr>
      </w:pPr>
      <w:r>
        <w:rPr>
          <w:rFonts w:ascii="Arial" w:cs="Arial" w:eastAsia="Arial" w:hAnsi="Arial"/>
          <w:sz w:val="24"/>
          <w:szCs w:val="24"/>
        </w:rPr>
        <w:t xml:space="preserve">Enzyme replacement and catalytic intervention opportunities</w:t>
      </w:r>
    </w:p>
    <w:p>
      <w:pPr>
        <w:pStyle w:val="ListParagraph"/>
        <w:numPr>
          <w:ilvl w:val="0"/>
          <w:numId w:val="2"/>
        </w:numPr>
      </w:pPr>
      <w:r>
        <w:rPr>
          <w:rFonts w:ascii="Arial" w:cs="Arial" w:eastAsia="Arial" w:hAnsi="Arial"/>
          <w:sz w:val="24"/>
          <w:szCs w:val="24"/>
        </w:rPr>
        <w:t xml:space="preserve">Intracellular targeting and protein replacement approaches</w:t>
      </w:r>
    </w:p>
    <w:p>
      <w:pPr>
        <w:pStyle w:val="ListParagraph"/>
        <w:numPr>
          <w:ilvl w:val="0"/>
          <w:numId w:val="2"/>
        </w:numPr>
      </w:pPr>
      <w:r>
        <w:rPr>
          <w:rFonts w:ascii="Arial" w:cs="Arial" w:eastAsia="Arial" w:hAnsi="Arial"/>
          <w:sz w:val="24"/>
          <w:szCs w:val="24"/>
        </w:rPr>
        <w:t xml:space="preserve">Regulatory and manufacturing considerations for biologics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PeptideBank and peptide modality databases</w:t>
      </w:r>
    </w:p>
    <w:p>
      <w:pPr>
        <w:pStyle w:val="ListParagraph"/>
        <w:numPr>
          <w:ilvl w:val="0"/>
          <w:numId w:val="2"/>
        </w:numPr>
      </w:pPr>
      <w:r>
        <w:rPr>
          <w:rFonts w:ascii="Arial" w:cs="Arial" w:eastAsia="Arial" w:hAnsi="Arial"/>
          <w:sz w:val="24"/>
          <w:szCs w:val="24"/>
        </w:rPr>
        <w:t xml:space="preserve">Enzyme replacement therapy databases</w:t>
      </w:r>
    </w:p>
    <w:p>
      <w:pPr>
        <w:pStyle w:val="ListParagraph"/>
        <w:numPr>
          <w:ilvl w:val="0"/>
          <w:numId w:val="2"/>
        </w:numPr>
      </w:pPr>
      <w:r>
        <w:rPr>
          <w:rFonts w:ascii="Arial" w:cs="Arial" w:eastAsia="Arial" w:hAnsi="Arial"/>
          <w:sz w:val="24"/>
          <w:szCs w:val="24"/>
        </w:rPr>
        <w:t xml:space="preserve">Intracellular protein delivery technologies</w:t>
      </w:r>
    </w:p>
    <w:p>
      <w:pPr>
        <w:pStyle w:val="ListParagraph"/>
        <w:numPr>
          <w:ilvl w:val="0"/>
          <w:numId w:val="2"/>
        </w:numPr>
      </w:pPr>
      <w:r>
        <w:rPr>
          <w:rFonts w:ascii="Arial" w:cs="Arial" w:eastAsia="Arial" w:hAnsi="Arial"/>
          <w:sz w:val="24"/>
          <w:szCs w:val="24"/>
        </w:rPr>
        <w:t xml:space="preserve">Cell-penetrating peptide databases and resources</w:t>
      </w:r>
    </w:p>
    <w:p>
      <w:pPr>
        <w:pStyle w:val="ListParagraph"/>
        <w:numPr>
          <w:ilvl w:val="0"/>
          <w:numId w:val="2"/>
        </w:numPr>
      </w:pPr>
      <w:r>
        <w:rPr>
          <w:rFonts w:ascii="Arial" w:cs="Arial" w:eastAsia="Arial" w:hAnsi="Arial"/>
          <w:sz w:val="24"/>
          <w:szCs w:val="24"/>
        </w:rPr>
        <w:t xml:space="preserve">Biologics manufacturing and regulatory guidance</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targets are suitable for peptide therapeutic intervention?</w:t>
      </w:r>
    </w:p>
    <w:p>
      <w:pPr>
        <w:pStyle w:val="ListParagraph"/>
        <w:numPr>
          <w:ilvl w:val="0"/>
          <w:numId w:val="2"/>
        </w:numPr>
      </w:pPr>
      <w:r>
        <w:rPr>
          <w:rFonts w:ascii="Arial" w:cs="Arial" w:eastAsia="Arial" w:hAnsi="Arial"/>
          <w:i/>
          <w:iCs/>
          <w:sz w:val="24"/>
          <w:szCs w:val="24"/>
        </w:rPr>
        <w:t xml:space="preserve">Are any targets amenable to enzyme replacement approaches?</w:t>
      </w:r>
    </w:p>
    <w:p>
      <w:pPr>
        <w:pStyle w:val="ListParagraph"/>
        <w:numPr>
          <w:ilvl w:val="0"/>
          <w:numId w:val="2"/>
        </w:numPr>
      </w:pPr>
      <w:r>
        <w:rPr>
          <w:rFonts w:ascii="Arial" w:cs="Arial" w:eastAsia="Arial" w:hAnsi="Arial"/>
          <w:i/>
          <w:iCs/>
          <w:sz w:val="24"/>
          <w:szCs w:val="24"/>
        </w:rPr>
        <w:t xml:space="preserve">Can we design protein replacement or protein augmentation strategies?</w:t>
      </w:r>
    </w:p>
    <w:p>
      <w:pPr>
        <w:pStyle w:val="ListParagraph"/>
        <w:numPr>
          <w:ilvl w:val="0"/>
          <w:numId w:val="2"/>
        </w:numPr>
      </w:pPr>
      <w:r>
        <w:rPr>
          <w:rFonts w:ascii="Arial" w:cs="Arial" w:eastAsia="Arial" w:hAnsi="Arial"/>
          <w:i/>
          <w:iCs/>
          <w:sz w:val="24"/>
          <w:szCs w:val="24"/>
        </w:rPr>
        <w:t xml:space="preserve">What intracellular delivery technologies could enable protein therapeutics?</w:t>
      </w:r>
    </w:p>
    <w:p>
      <w:pPr>
        <w:pStyle w:val="ListParagraph"/>
        <w:numPr>
          <w:ilvl w:val="0"/>
          <w:numId w:val="2"/>
        </w:numPr>
      </w:pPr>
      <w:r>
        <w:rPr>
          <w:rFonts w:ascii="Arial" w:cs="Arial" w:eastAsia="Arial" w:hAnsi="Arial"/>
          <w:i/>
          <w:iCs/>
          <w:sz w:val="24"/>
          <w:szCs w:val="24"/>
        </w:rPr>
        <w:t xml:space="preserve">What regulatory and manufacturing complexity does each modality entail?</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Peptide therapeutic opportunity identification and design</w:t>
      </w:r>
    </w:p>
    <w:p>
      <w:pPr>
        <w:pStyle w:val="ListParagraph"/>
        <w:numPr>
          <w:ilvl w:val="0"/>
          <w:numId w:val="2"/>
        </w:numPr>
      </w:pPr>
      <w:r>
        <w:rPr>
          <w:rFonts w:ascii="Arial" w:cs="Arial" w:eastAsia="Arial" w:hAnsi="Arial"/>
          <w:sz w:val="24"/>
          <w:szCs w:val="24"/>
        </w:rPr>
        <w:t xml:space="preserve">Enzyme replacement and catalytic intervention feasibility</w:t>
      </w:r>
    </w:p>
    <w:p>
      <w:pPr>
        <w:pStyle w:val="ListParagraph"/>
        <w:numPr>
          <w:ilvl w:val="0"/>
          <w:numId w:val="2"/>
        </w:numPr>
      </w:pPr>
      <w:r>
        <w:rPr>
          <w:rFonts w:ascii="Arial" w:cs="Arial" w:eastAsia="Arial" w:hAnsi="Arial"/>
          <w:sz w:val="24"/>
          <w:szCs w:val="24"/>
        </w:rPr>
        <w:t xml:space="preserve">Protein therapeutic and augmentation strategy assessment</w:t>
      </w:r>
    </w:p>
    <w:p>
      <w:pPr>
        <w:pStyle w:val="ListParagraph"/>
        <w:numPr>
          <w:ilvl w:val="0"/>
          <w:numId w:val="2"/>
        </w:numPr>
      </w:pPr>
      <w:r>
        <w:rPr>
          <w:rFonts w:ascii="Arial" w:cs="Arial" w:eastAsia="Arial" w:hAnsi="Arial"/>
          <w:sz w:val="24"/>
          <w:szCs w:val="24"/>
        </w:rPr>
        <w:t xml:space="preserve">Intracellular delivery technology matching and requirements</w:t>
      </w:r>
    </w:p>
    <w:p>
      <w:pPr>
        <w:pStyle w:val="ListParagraph"/>
        <w:numPr>
          <w:ilvl w:val="0"/>
          <w:numId w:val="2"/>
        </w:numPr>
      </w:pPr>
      <w:r>
        <w:rPr>
          <w:rFonts w:ascii="Arial" w:cs="Arial" w:eastAsia="Arial" w:hAnsi="Arial"/>
          <w:sz w:val="24"/>
          <w:szCs w:val="24"/>
        </w:rPr>
        <w:t xml:space="preserve">Regulatory pathway and manufacturing complexity per modality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Alternative modality suitability assessments with feasibility analysis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Compare modalities and synthesize optimal selection recommendations.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Small molecule druggability assessments</w:t>
      </w:r>
    </w:p>
    <w:p>
      <w:pPr>
        <w:pStyle w:val="ListParagraph"/>
        <w:numPr>
          <w:ilvl w:val="0"/>
          <w:numId w:val="2"/>
        </w:numPr>
      </w:pPr>
      <w:r>
        <w:rPr>
          <w:rFonts w:ascii="Arial" w:cs="Arial" w:eastAsia="Arial" w:hAnsi="Arial"/>
          <w:sz w:val="24"/>
          <w:szCs w:val="24"/>
        </w:rPr>
        <w:t xml:space="preserve">Antibody and biologics modality evaluations</w:t>
      </w:r>
    </w:p>
    <w:p>
      <w:pPr>
        <w:pStyle w:val="ListParagraph"/>
        <w:numPr>
          <w:ilvl w:val="0"/>
          <w:numId w:val="2"/>
        </w:numPr>
      </w:pPr>
      <w:r>
        <w:rPr>
          <w:rFonts w:ascii="Arial" w:cs="Arial" w:eastAsia="Arial" w:hAnsi="Arial"/>
          <w:sz w:val="24"/>
          <w:szCs w:val="24"/>
        </w:rPr>
        <w:t xml:space="preserve">Target class distribution and characteristics</w:t>
      </w:r>
    </w:p>
    <w:p>
      <w:pPr>
        <w:pStyle w:val="ListParagraph"/>
        <w:numPr>
          <w:ilvl w:val="0"/>
          <w:numId w:val="2"/>
        </w:numPr>
      </w:pPr>
      <w:r>
        <w:rPr>
          <w:rFonts w:ascii="Arial" w:cs="Arial" w:eastAsia="Arial" w:hAnsi="Arial"/>
          <w:sz w:val="24"/>
          <w:szCs w:val="24"/>
        </w:rPr>
        <w:t xml:space="preserve">Development timelines and regulatory complexity</w:t>
      </w:r>
    </w:p>
    <w:p>
      <w:pPr>
        <w:pStyle w:val="ListParagraph"/>
        <w:numPr>
          <w:ilvl w:val="0"/>
          <w:numId w:val="2"/>
        </w:numPr>
      </w:pPr>
      <w:r>
        <w:rPr>
          <w:rFonts w:ascii="Arial" w:cs="Arial" w:eastAsia="Arial" w:hAnsi="Arial"/>
          <w:sz w:val="24"/>
          <w:szCs w:val="24"/>
        </w:rPr>
        <w:t xml:space="preserve">Cost and feasibility considerations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Multi-criteria modality comparison frameworks</w:t>
      </w:r>
    </w:p>
    <w:p>
      <w:pPr>
        <w:pStyle w:val="ListParagraph"/>
        <w:numPr>
          <w:ilvl w:val="0"/>
          <w:numId w:val="2"/>
        </w:numPr>
      </w:pPr>
      <w:r>
        <w:rPr>
          <w:rFonts w:ascii="Arial" w:cs="Arial" w:eastAsia="Arial" w:hAnsi="Arial"/>
          <w:sz w:val="24"/>
          <w:szCs w:val="24"/>
        </w:rPr>
        <w:t xml:space="preserve">Modality selection decision matrices</w:t>
      </w:r>
    </w:p>
    <w:p>
      <w:pPr>
        <w:pStyle w:val="ListParagraph"/>
        <w:numPr>
          <w:ilvl w:val="0"/>
          <w:numId w:val="2"/>
        </w:numPr>
      </w:pPr>
      <w:r>
        <w:rPr>
          <w:rFonts w:ascii="Arial" w:cs="Arial" w:eastAsia="Arial" w:hAnsi="Arial"/>
          <w:sz w:val="24"/>
          <w:szCs w:val="24"/>
        </w:rPr>
        <w:t xml:space="preserve">Timeline and complexity assessment tools</w:t>
      </w:r>
    </w:p>
    <w:p>
      <w:pPr>
        <w:pStyle w:val="ListParagraph"/>
        <w:numPr>
          <w:ilvl w:val="0"/>
          <w:numId w:val="2"/>
        </w:numPr>
      </w:pPr>
      <w:r>
        <w:rPr>
          <w:rFonts w:ascii="Arial" w:cs="Arial" w:eastAsia="Arial" w:hAnsi="Arial"/>
          <w:sz w:val="24"/>
          <w:szCs w:val="24"/>
        </w:rPr>
        <w:t xml:space="preserve">Cost-benefit and financial modeling</w:t>
      </w:r>
    </w:p>
    <w:p>
      <w:pPr>
        <w:pStyle w:val="ListParagraph"/>
        <w:numPr>
          <w:ilvl w:val="0"/>
          <w:numId w:val="2"/>
        </w:numPr>
      </w:pPr>
      <w:r>
        <w:rPr>
          <w:rFonts w:ascii="Arial" w:cs="Arial" w:eastAsia="Arial" w:hAnsi="Arial"/>
          <w:sz w:val="24"/>
          <w:szCs w:val="24"/>
        </w:rPr>
        <w:t xml:space="preserve">Portfolio optimization and strategy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optimal modality for each target class or cluster?</w:t>
      </w:r>
    </w:p>
    <w:p>
      <w:pPr>
        <w:pStyle w:val="ListParagraph"/>
        <w:numPr>
          <w:ilvl w:val="0"/>
          <w:numId w:val="2"/>
        </w:numPr>
      </w:pPr>
      <w:r>
        <w:rPr>
          <w:rFonts w:ascii="Arial" w:cs="Arial" w:eastAsia="Arial" w:hAnsi="Arial"/>
          <w:i/>
          <w:iCs/>
          <w:sz w:val="24"/>
          <w:szCs w:val="24"/>
        </w:rPr>
        <w:t xml:space="preserve">Should we pursue single modality or multimodal strategies?</w:t>
      </w:r>
    </w:p>
    <w:p>
      <w:pPr>
        <w:pStyle w:val="ListParagraph"/>
        <w:numPr>
          <w:ilvl w:val="0"/>
          <w:numId w:val="2"/>
        </w:numPr>
      </w:pPr>
      <w:r>
        <w:rPr>
          <w:rFonts w:ascii="Arial" w:cs="Arial" w:eastAsia="Arial" w:hAnsi="Arial"/>
          <w:i/>
          <w:iCs/>
          <w:sz w:val="24"/>
          <w:szCs w:val="24"/>
        </w:rPr>
        <w:t xml:space="preserve">How do development timelines differ across modalities?</w:t>
      </w:r>
    </w:p>
    <w:p>
      <w:pPr>
        <w:pStyle w:val="ListParagraph"/>
        <w:numPr>
          <w:ilvl w:val="0"/>
          <w:numId w:val="2"/>
        </w:numPr>
      </w:pPr>
      <w:r>
        <w:rPr>
          <w:rFonts w:ascii="Arial" w:cs="Arial" w:eastAsia="Arial" w:hAnsi="Arial"/>
          <w:i/>
          <w:iCs/>
          <w:sz w:val="24"/>
          <w:szCs w:val="24"/>
        </w:rPr>
        <w:t xml:space="preserve">What are the cost and feasibility tradeoffs?</w:t>
      </w:r>
    </w:p>
    <w:p>
      <w:pPr>
        <w:pStyle w:val="ListParagraph"/>
        <w:numPr>
          <w:ilvl w:val="0"/>
          <w:numId w:val="2"/>
        </w:numPr>
      </w:pPr>
      <w:r>
        <w:rPr>
          <w:rFonts w:ascii="Arial" w:cs="Arial" w:eastAsia="Arial" w:hAnsi="Arial"/>
          <w:i/>
          <w:iCs/>
          <w:sz w:val="24"/>
          <w:szCs w:val="24"/>
        </w:rPr>
        <w:t xml:space="preserve">How should portfolio balance between modalities?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Modality suitability rankings per target and cluster</w:t>
      </w:r>
    </w:p>
    <w:p>
      <w:pPr>
        <w:pStyle w:val="ListParagraph"/>
        <w:numPr>
          <w:ilvl w:val="0"/>
          <w:numId w:val="2"/>
        </w:numPr>
      </w:pPr>
      <w:r>
        <w:rPr>
          <w:rFonts w:ascii="Arial" w:cs="Arial" w:eastAsia="Arial" w:hAnsi="Arial"/>
          <w:sz w:val="24"/>
          <w:szCs w:val="24"/>
        </w:rPr>
        <w:t xml:space="preserve">Recommended primary and backup modality approaches</w:t>
      </w:r>
    </w:p>
    <w:p>
      <w:pPr>
        <w:pStyle w:val="ListParagraph"/>
        <w:numPr>
          <w:ilvl w:val="0"/>
          <w:numId w:val="2"/>
        </w:numPr>
      </w:pPr>
      <w:r>
        <w:rPr>
          <w:rFonts w:ascii="Arial" w:cs="Arial" w:eastAsia="Arial" w:hAnsi="Arial"/>
          <w:sz w:val="24"/>
          <w:szCs w:val="24"/>
        </w:rPr>
        <w:t xml:space="preserve">Development timeline and complexity comparisons</w:t>
      </w:r>
    </w:p>
    <w:p>
      <w:pPr>
        <w:pStyle w:val="ListParagraph"/>
        <w:numPr>
          <w:ilvl w:val="0"/>
          <w:numId w:val="2"/>
        </w:numPr>
      </w:pPr>
      <w:r>
        <w:rPr>
          <w:rFonts w:ascii="Arial" w:cs="Arial" w:eastAsia="Arial" w:hAnsi="Arial"/>
          <w:sz w:val="24"/>
          <w:szCs w:val="24"/>
        </w:rPr>
        <w:t xml:space="preserve">Cost-benefit analyses and financial projections</w:t>
      </w:r>
    </w:p>
    <w:p>
      <w:pPr>
        <w:pStyle w:val="ListParagraph"/>
        <w:numPr>
          <w:ilvl w:val="0"/>
          <w:numId w:val="2"/>
        </w:numPr>
      </w:pPr>
      <w:r>
        <w:rPr>
          <w:rFonts w:ascii="Arial" w:cs="Arial" w:eastAsia="Arial" w:hAnsi="Arial"/>
          <w:sz w:val="24"/>
          <w:szCs w:val="24"/>
        </w:rPr>
        <w:t xml:space="preserve">Portfolio strategy recommendations with modality balance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Modality selection guidance with portfolio recommendations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modality-specific development strategies and roadmaps.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Finalized modality recommendations per target</w:t>
      </w:r>
    </w:p>
    <w:p>
      <w:pPr>
        <w:pStyle w:val="ListParagraph"/>
        <w:numPr>
          <w:ilvl w:val="0"/>
          <w:numId w:val="2"/>
        </w:numPr>
      </w:pPr>
      <w:r>
        <w:rPr>
          <w:rFonts w:ascii="Arial" w:cs="Arial" w:eastAsia="Arial" w:hAnsi="Arial"/>
          <w:sz w:val="24"/>
          <w:szCs w:val="24"/>
        </w:rPr>
        <w:t xml:space="preserve">Modality-specific development requirements and milestones</w:t>
      </w:r>
    </w:p>
    <w:p>
      <w:pPr>
        <w:pStyle w:val="ListParagraph"/>
        <w:numPr>
          <w:ilvl w:val="0"/>
          <w:numId w:val="2"/>
        </w:numPr>
      </w:pPr>
      <w:r>
        <w:rPr>
          <w:rFonts w:ascii="Arial" w:cs="Arial" w:eastAsia="Arial" w:hAnsi="Arial"/>
          <w:sz w:val="24"/>
          <w:szCs w:val="24"/>
        </w:rPr>
        <w:t xml:space="preserve">Regulatory pathway and approval strategy information</w:t>
      </w:r>
    </w:p>
    <w:p>
      <w:pPr>
        <w:pStyle w:val="ListParagraph"/>
        <w:numPr>
          <w:ilvl w:val="0"/>
          <w:numId w:val="2"/>
        </w:numPr>
      </w:pPr>
      <w:r>
        <w:rPr>
          <w:rFonts w:ascii="Arial" w:cs="Arial" w:eastAsia="Arial" w:hAnsi="Arial"/>
          <w:sz w:val="24"/>
          <w:szCs w:val="24"/>
        </w:rPr>
        <w:t xml:space="preserve">Resource and manufacturing requirements</w:t>
      </w:r>
    </w:p>
    <w:p>
      <w:pPr>
        <w:pStyle w:val="ListParagraph"/>
        <w:numPr>
          <w:ilvl w:val="0"/>
          <w:numId w:val="2"/>
        </w:numPr>
      </w:pPr>
      <w:r>
        <w:rPr>
          <w:rFonts w:ascii="Arial" w:cs="Arial" w:eastAsia="Arial" w:hAnsi="Arial"/>
          <w:sz w:val="24"/>
          <w:szCs w:val="24"/>
        </w:rPr>
        <w:t xml:space="preserve">Competitive and partnership considerations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Modality-specific development roadmap templates</w:t>
      </w:r>
    </w:p>
    <w:p>
      <w:pPr>
        <w:pStyle w:val="ListParagraph"/>
        <w:numPr>
          <w:ilvl w:val="0"/>
          <w:numId w:val="2"/>
        </w:numPr>
      </w:pPr>
      <w:r>
        <w:rPr>
          <w:rFonts w:ascii="Arial" w:cs="Arial" w:eastAsia="Arial" w:hAnsi="Arial"/>
          <w:sz w:val="24"/>
          <w:szCs w:val="24"/>
        </w:rPr>
        <w:t xml:space="preserve">Regulatory intelligence and pathway tracking</w:t>
      </w:r>
    </w:p>
    <w:p>
      <w:pPr>
        <w:pStyle w:val="ListParagraph"/>
        <w:numPr>
          <w:ilvl w:val="0"/>
          <w:numId w:val="2"/>
        </w:numPr>
      </w:pPr>
      <w:r>
        <w:rPr>
          <w:rFonts w:ascii="Arial" w:cs="Arial" w:eastAsia="Arial" w:hAnsi="Arial"/>
          <w:sz w:val="24"/>
          <w:szCs w:val="24"/>
        </w:rPr>
        <w:t xml:space="preserve">Project management and milestone planning tools</w:t>
      </w:r>
    </w:p>
    <w:p>
      <w:pPr>
        <w:pStyle w:val="ListParagraph"/>
        <w:numPr>
          <w:ilvl w:val="0"/>
          <w:numId w:val="2"/>
        </w:numPr>
      </w:pPr>
      <w:r>
        <w:rPr>
          <w:rFonts w:ascii="Arial" w:cs="Arial" w:eastAsia="Arial" w:hAnsi="Arial"/>
          <w:sz w:val="24"/>
          <w:szCs w:val="24"/>
        </w:rPr>
        <w:t xml:space="preserve">Manufacturing and resource requirement modeling</w:t>
      </w:r>
    </w:p>
    <w:p>
      <w:pPr>
        <w:pStyle w:val="ListParagraph"/>
        <w:numPr>
          <w:ilvl w:val="0"/>
          <w:numId w:val="2"/>
        </w:numPr>
      </w:pPr>
      <w:r>
        <w:rPr>
          <w:rFonts w:ascii="Arial" w:cs="Arial" w:eastAsia="Arial" w:hAnsi="Arial"/>
          <w:sz w:val="24"/>
          <w:szCs w:val="24"/>
        </w:rPr>
        <w:t xml:space="preserve">Stakeholder reporting and communication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modality-specific development milestones?</w:t>
      </w:r>
    </w:p>
    <w:p>
      <w:pPr>
        <w:pStyle w:val="ListParagraph"/>
        <w:numPr>
          <w:ilvl w:val="0"/>
          <w:numId w:val="2"/>
        </w:numPr>
      </w:pPr>
      <w:r>
        <w:rPr>
          <w:rFonts w:ascii="Arial" w:cs="Arial" w:eastAsia="Arial" w:hAnsi="Arial"/>
          <w:i/>
          <w:iCs/>
          <w:sz w:val="24"/>
          <w:szCs w:val="24"/>
        </w:rPr>
        <w:t xml:space="preserve">How should we structure hit finding and lead optimization?</w:t>
      </w:r>
    </w:p>
    <w:p>
      <w:pPr>
        <w:pStyle w:val="ListParagraph"/>
        <w:numPr>
          <w:ilvl w:val="0"/>
          <w:numId w:val="2"/>
        </w:numPr>
      </w:pPr>
      <w:r>
        <w:rPr>
          <w:rFonts w:ascii="Arial" w:cs="Arial" w:eastAsia="Arial" w:hAnsi="Arial"/>
          <w:i/>
          <w:iCs/>
          <w:sz w:val="24"/>
          <w:szCs w:val="24"/>
        </w:rPr>
        <w:t xml:space="preserve">What IND-enabling or equivalent studies are required?</w:t>
      </w:r>
    </w:p>
    <w:p>
      <w:pPr>
        <w:pStyle w:val="ListParagraph"/>
        <w:numPr>
          <w:ilvl w:val="0"/>
          <w:numId w:val="2"/>
        </w:numPr>
      </w:pPr>
      <w:r>
        <w:rPr>
          <w:rFonts w:ascii="Arial" w:cs="Arial" w:eastAsia="Arial" w:hAnsi="Arial"/>
          <w:i/>
          <w:iCs/>
          <w:sz w:val="24"/>
          <w:szCs w:val="24"/>
        </w:rPr>
        <w:t xml:space="preserve">What manufacturing partnerships are critical?</w:t>
      </w:r>
    </w:p>
    <w:p>
      <w:pPr>
        <w:pStyle w:val="ListParagraph"/>
        <w:numPr>
          <w:ilvl w:val="0"/>
          <w:numId w:val="2"/>
        </w:numPr>
      </w:pPr>
      <w:r>
        <w:rPr>
          <w:rFonts w:ascii="Arial" w:cs="Arial" w:eastAsia="Arial" w:hAnsi="Arial"/>
          <w:i/>
          <w:iCs/>
          <w:sz w:val="24"/>
          <w:szCs w:val="24"/>
        </w:rPr>
        <w:t xml:space="preserve">How should we sequence development across modalities?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Modality-specific development roadmaps with milestones</w:t>
      </w:r>
    </w:p>
    <w:p>
      <w:pPr>
        <w:pStyle w:val="ListParagraph"/>
        <w:numPr>
          <w:ilvl w:val="0"/>
          <w:numId w:val="2"/>
        </w:numPr>
      </w:pPr>
      <w:r>
        <w:rPr>
          <w:rFonts w:ascii="Arial" w:cs="Arial" w:eastAsia="Arial" w:hAnsi="Arial"/>
          <w:sz w:val="24"/>
          <w:szCs w:val="24"/>
        </w:rPr>
        <w:t xml:space="preserve">Regulatory pathway and approval strategy documentation</w:t>
      </w:r>
    </w:p>
    <w:p>
      <w:pPr>
        <w:pStyle w:val="ListParagraph"/>
        <w:numPr>
          <w:ilvl w:val="0"/>
          <w:numId w:val="2"/>
        </w:numPr>
      </w:pPr>
      <w:r>
        <w:rPr>
          <w:rFonts w:ascii="Arial" w:cs="Arial" w:eastAsia="Arial" w:hAnsi="Arial"/>
          <w:sz w:val="24"/>
          <w:szCs w:val="24"/>
        </w:rPr>
        <w:t xml:space="preserve">Hit finding and lead optimization approaches per modality</w:t>
      </w:r>
    </w:p>
    <w:p>
      <w:pPr>
        <w:pStyle w:val="ListParagraph"/>
        <w:numPr>
          <w:ilvl w:val="0"/>
          <w:numId w:val="2"/>
        </w:numPr>
      </w:pPr>
      <w:r>
        <w:rPr>
          <w:rFonts w:ascii="Arial" w:cs="Arial" w:eastAsia="Arial" w:hAnsi="Arial"/>
          <w:sz w:val="24"/>
          <w:szCs w:val="24"/>
        </w:rPr>
        <w:t xml:space="preserve">Manufacturing and scale-up planning by modality</w:t>
      </w:r>
    </w:p>
    <w:p>
      <w:pPr>
        <w:pStyle w:val="ListParagraph"/>
        <w:numPr>
          <w:ilvl w:val="0"/>
          <w:numId w:val="2"/>
        </w:numPr>
      </w:pPr>
      <w:r>
        <w:rPr>
          <w:rFonts w:ascii="Arial" w:cs="Arial" w:eastAsia="Arial" w:hAnsi="Arial"/>
          <w:sz w:val="24"/>
          <w:szCs w:val="24"/>
        </w:rPr>
        <w:t xml:space="preserve">Portfolio advancement and decision gate planning</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Modality-specific development guides and implementation roadmaps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UniProt - protein classification and feature annotation</w:t>
      </w:r>
    </w:p>
    <w:p>
      <w:pPr>
        <w:pStyle w:val="ListParagraph"/>
        <w:numPr>
          <w:ilvl w:val="0"/>
          <w:numId w:val="2"/>
        </w:numPr>
      </w:pPr>
      <w:r>
        <w:rPr>
          <w:rFonts w:ascii="Arial" w:cs="Arial" w:eastAsia="Arial" w:hAnsi="Arial"/>
          <w:sz w:val="24"/>
          <w:szCs w:val="24"/>
        </w:rPr>
        <w:t xml:space="preserve">IUPHAR/BPS - target class pharmacology database</w:t>
      </w:r>
    </w:p>
    <w:p>
      <w:pPr>
        <w:pStyle w:val="ListParagraph"/>
        <w:numPr>
          <w:ilvl w:val="0"/>
          <w:numId w:val="2"/>
        </w:numPr>
      </w:pPr>
      <w:r>
        <w:rPr>
          <w:rFonts w:ascii="Arial" w:cs="Arial" w:eastAsia="Arial" w:hAnsi="Arial"/>
          <w:sz w:val="24"/>
          <w:szCs w:val="24"/>
        </w:rPr>
        <w:t xml:space="preserve">InterPro - protein domain and family classification</w:t>
      </w:r>
    </w:p>
    <w:p>
      <w:pPr>
        <w:pStyle w:val="ListParagraph"/>
        <w:numPr>
          <w:ilvl w:val="0"/>
          <w:numId w:val="2"/>
        </w:numPr>
      </w:pPr>
      <w:r>
        <w:rPr>
          <w:rFonts w:ascii="Arial" w:cs="Arial" w:eastAsia="Arial" w:hAnsi="Arial"/>
          <w:sz w:val="24"/>
          <w:szCs w:val="24"/>
        </w:rPr>
        <w:t xml:space="preserve">Gene Ontology - biological annotation and classification</w:t>
      </w:r>
    </w:p>
    <w:p>
      <w:pPr>
        <w:pStyle w:val="ListParagraph"/>
        <w:numPr>
          <w:ilvl w:val="0"/>
          <w:numId w:val="2"/>
        </w:numPr>
      </w:pPr>
      <w:r>
        <w:rPr>
          <w:rFonts w:ascii="Arial" w:cs="Arial" w:eastAsia="Arial" w:hAnsi="Arial"/>
          <w:sz w:val="24"/>
          <w:szCs w:val="24"/>
        </w:rPr>
        <w:t xml:space="preserve">Ensembl - gene and protein annotation</w:t>
      </w:r>
    </w:p>
    <w:p>
      <w:pPr>
        <w:pStyle w:val="ListParagraph"/>
        <w:numPr>
          <w:ilvl w:val="0"/>
          <w:numId w:val="2"/>
        </w:numPr>
      </w:pPr>
      <w:r>
        <w:rPr>
          <w:rFonts w:ascii="Arial" w:cs="Arial" w:eastAsia="Arial" w:hAnsi="Arial"/>
          <w:sz w:val="24"/>
          <w:szCs w:val="24"/>
        </w:rPr>
        <w:t xml:space="preserve">Epitope prediction tools - antibody epitope design</w:t>
      </w:r>
    </w:p>
    <w:p>
      <w:pPr>
        <w:pStyle w:val="ListParagraph"/>
        <w:numPr>
          <w:ilvl w:val="0"/>
          <w:numId w:val="2"/>
        </w:numPr>
      </w:pPr>
      <w:r>
        <w:rPr>
          <w:rFonts w:ascii="Arial" w:cs="Arial" w:eastAsia="Arial" w:hAnsi="Arial"/>
          <w:sz w:val="24"/>
          <w:szCs w:val="24"/>
        </w:rPr>
        <w:t xml:space="preserve">PDB - protein structures and antibody precedent</w:t>
      </w:r>
    </w:p>
    <w:p>
      <w:pPr>
        <w:pStyle w:val="ListParagraph"/>
        <w:numPr>
          <w:ilvl w:val="0"/>
          <w:numId w:val="2"/>
        </w:numPr>
      </w:pPr>
      <w:r>
        <w:rPr>
          <w:rFonts w:ascii="Arial" w:cs="Arial" w:eastAsia="Arial" w:hAnsi="Arial"/>
          <w:sz w:val="24"/>
          <w:szCs w:val="24"/>
        </w:rPr>
        <w:t xml:space="preserve">AlphaFold - structural predictions for epitope design</w:t>
      </w:r>
    </w:p>
    <w:p>
      <w:pPr>
        <w:pStyle w:val="ListParagraph"/>
        <w:numPr>
          <w:ilvl w:val="0"/>
          <w:numId w:val="2"/>
        </w:numPr>
      </w:pPr>
      <w:r>
        <w:rPr>
          <w:rFonts w:ascii="Arial" w:cs="Arial" w:eastAsia="Arial" w:hAnsi="Arial"/>
          <w:sz w:val="24"/>
          <w:szCs w:val="24"/>
        </w:rPr>
        <w:t xml:space="preserve">ChEMBL - small molecule and compound databases</w:t>
      </w:r>
    </w:p>
    <w:p>
      <w:pPr>
        <w:pStyle w:val="ListParagraph"/>
        <w:numPr>
          <w:ilvl w:val="0"/>
          <w:numId w:val="2"/>
        </w:numPr>
      </w:pPr>
      <w:r>
        <w:rPr>
          <w:rFonts w:ascii="Arial" w:cs="Arial" w:eastAsia="Arial" w:hAnsi="Arial"/>
          <w:sz w:val="24"/>
          <w:szCs w:val="24"/>
        </w:rPr>
        <w:t xml:space="preserve">Cortellis - antibody and biologics pipeline intelligence</w:t>
      </w:r>
    </w:p>
    <w:p>
      <w:pPr>
        <w:pStyle w:val="ListParagraph"/>
        <w:numPr>
          <w:ilvl w:val="0"/>
          <w:numId w:val="2"/>
        </w:numPr>
      </w:pPr>
      <w:r>
        <w:rPr>
          <w:rFonts w:ascii="Arial" w:cs="Arial" w:eastAsia="Arial" w:hAnsi="Arial"/>
          <w:sz w:val="24"/>
          <w:szCs w:val="24"/>
        </w:rPr>
        <w:t xml:space="preserve">GlobalData - therapeutic modality and pipeline analysis</w:t>
      </w:r>
    </w:p>
    <w:p>
      <w:pPr>
        <w:pStyle w:val="ListParagraph"/>
        <w:numPr>
          <w:ilvl w:val="0"/>
          <w:numId w:val="2"/>
        </w:numPr>
      </w:pPr>
      <w:r>
        <w:rPr>
          <w:rFonts w:ascii="Arial" w:cs="Arial" w:eastAsia="Arial" w:hAnsi="Arial"/>
          <w:sz w:val="24"/>
          <w:szCs w:val="24"/>
        </w:rPr>
        <w:t xml:space="preserve">Immunogenicity prediction tools - mAb safety assessment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2026-03-25T18:45:01.064Z</dcterms:created>
  <dcterms:modified xsi:type="dcterms:W3CDTF">2026-03-25T18:45:01.064Z</dcterms:modified>
</cp:coreProperties>
</file>

<file path=docProps/custom.xml><?xml version="1.0" encoding="utf-8"?>
<Properties xmlns="http://schemas.openxmlformats.org/officeDocument/2006/custom-properties" xmlns:vt="http://schemas.openxmlformats.org/officeDocument/2006/docPropsVTypes"/>
</file>