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Sapphire Pipeline Workflow #060: Disease Subtype Heterogeneity and Precision Stratification</w:t>
      </w:r>
    </w:p>
    <w:p>
      <w:pPr>
        <w:pStyle w:val="Heading2"/>
      </w:pPr>
      <w:r>
        <w:rPr>
          <w:rFonts w:ascii="Arial" w:cs="Arial" w:eastAsia="Arial" w:hAnsi="Arial"/>
          <w:b/>
          <w:bCs/>
          <w:sz w:val="28"/>
          <w:szCs w:val="28"/>
        </w:rPr>
        <w:t xml:space="preserve">Pipeline Overview</w:t>
      </w:r>
    </w:p>
    <w:p>
      <w:r>
        <w:rPr>
          <w:rFonts w:ascii="Arial" w:cs="Arial" w:eastAsia="Arial" w:hAnsi="Arial"/>
          <w:b/>
          <w:bCs/>
          <w:sz w:val="24"/>
          <w:szCs w:val="24"/>
        </w:rPr>
        <w:t xml:space="preserve">Original Prompt:</w:t>
      </w:r>
    </w:p>
    <w:p>
      <w:pPr>
        <w:spacing w:after="120"/>
      </w:pPr>
      <w:r>
        <w:rPr>
          <w:rFonts w:ascii="Arial" w:cs="Arial" w:eastAsia="Arial" w:hAnsi="Arial"/>
          <w:i/>
          <w:iCs/>
          <w:sz w:val="24"/>
          <w:szCs w:val="24"/>
        </w:rPr>
        <w:t xml:space="preserve">From the Angelini data, identify instances where different DEE gene knockouts within the same functional cluster show divergent responses to the same pharmacological rescue strategy, and analyze whether these differences correlate with specific molecular subtypes within the cluster.</w:t>
      </w:r>
    </w:p>
    <w:p>
      <w:r>
        <w:rPr>
          <w:rFonts w:ascii="Arial" w:cs="Arial" w:eastAsia="Arial" w:hAnsi="Arial"/>
          <w:b/>
          <w:bCs/>
          <w:sz w:val="24"/>
          <w:szCs w:val="24"/>
        </w:rPr>
        <w:t xml:space="preserve">Objective:</w:t>
      </w:r>
    </w:p>
    <w:p>
      <w:pPr>
        <w:spacing w:after="120"/>
      </w:pPr>
      <w:r>
        <w:rPr>
          <w:rFonts w:ascii="Arial" w:cs="Arial" w:eastAsia="Arial" w:hAnsi="Arial"/>
          <w:sz w:val="24"/>
          <w:szCs w:val="24"/>
        </w:rPr>
        <w:t xml:space="preserve">Systematically identify disease subtype heterogeneity within Angelini clusters where different genes show divergent drug responses, enabling precision medicine stratification.</w:t>
      </w:r>
    </w:p>
    <w:p>
      <w:r>
        <w:rPr>
          <w:rFonts w:ascii="Arial" w:cs="Arial" w:eastAsia="Arial" w:hAnsi="Arial"/>
          <w:b/>
          <w:bCs/>
          <w:sz w:val="24"/>
          <w:szCs w:val="24"/>
        </w:rPr>
        <w:t xml:space="preserve">Pipeline Complexity:</w:t>
      </w:r>
    </w:p>
    <w:p>
      <w:pPr>
        <w:spacing w:after="200"/>
      </w:pPr>
      <w:r>
        <w:rPr>
          <w:rFonts w:ascii="Arial" w:cs="Arial" w:eastAsia="Arial" w:hAnsi="Arial"/>
          <w:sz w:val="24"/>
          <w:szCs w:val="24"/>
        </w:rPr>
        <w:t xml:space="preserve">High - requires integration of functional data with patient genetics and biomarker discovery.</w:t>
      </w:r>
    </w:p>
    <w:p>
      <w:pPr>
        <w:pStyle w:val="Heading2"/>
      </w:pPr>
      <w:r>
        <w:rPr>
          <w:rFonts w:ascii="Arial" w:cs="Arial" w:eastAsia="Arial" w:hAnsi="Arial"/>
          <w:b/>
          <w:bCs/>
          <w:sz w:val="28"/>
          <w:szCs w:val="28"/>
        </w:rPr>
        <w:t xml:space="preserve">Stage 1: Data Retrieval &amp; Source Identification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Characterize differential functional consequences across cluster genes.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Angelini functional cluster assignments and gene knockdown data</w:t>
      </w:r>
    </w:p>
    <w:p>
      <w:pPr>
        <w:pStyle w:val="ListParagraph"/>
        <w:numPr>
          <w:ilvl w:val="0"/>
          <w:numId w:val="2"/>
        </w:numPr>
      </w:pPr>
      <w:r>
        <w:rPr>
          <w:rFonts w:ascii="Arial" w:cs="Arial" w:eastAsia="Arial" w:hAnsi="Arial"/>
          <w:sz w:val="24"/>
          <w:szCs w:val="24"/>
        </w:rPr>
        <w:t xml:space="preserve">Phenotypic consequences of individual gene knockdowns</w:t>
      </w:r>
    </w:p>
    <w:p>
      <w:pPr>
        <w:pStyle w:val="ListParagraph"/>
        <w:numPr>
          <w:ilvl w:val="0"/>
          <w:numId w:val="2"/>
        </w:numPr>
      </w:pPr>
      <w:r>
        <w:rPr>
          <w:rFonts w:ascii="Arial" w:cs="Arial" w:eastAsia="Arial" w:hAnsi="Arial"/>
          <w:sz w:val="24"/>
          <w:szCs w:val="24"/>
        </w:rPr>
        <w:t xml:space="preserve">Pathway-level effects and functional clustering validation</w:t>
      </w:r>
    </w:p>
    <w:p>
      <w:pPr>
        <w:pStyle w:val="ListParagraph"/>
        <w:numPr>
          <w:ilvl w:val="0"/>
          <w:numId w:val="2"/>
        </w:numPr>
      </w:pPr>
      <w:r>
        <w:rPr>
          <w:rFonts w:ascii="Arial" w:cs="Arial" w:eastAsia="Arial" w:hAnsi="Arial"/>
          <w:sz w:val="24"/>
          <w:szCs w:val="24"/>
        </w:rPr>
        <w:t xml:space="preserve">Divergent response patterns to rescue interventions</w:t>
      </w:r>
    </w:p>
    <w:p>
      <w:pPr>
        <w:pStyle w:val="ListParagraph"/>
        <w:numPr>
          <w:ilvl w:val="0"/>
          <w:numId w:val="2"/>
        </w:numPr>
      </w:pPr>
      <w:r>
        <w:rPr>
          <w:rFonts w:ascii="Arial" w:cs="Arial" w:eastAsia="Arial" w:hAnsi="Arial"/>
          <w:sz w:val="24"/>
          <w:szCs w:val="24"/>
        </w:rPr>
        <w:t xml:space="preserve">Expression and regulatory variation data</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Angelini platform - functional data and analysis</w:t>
      </w:r>
    </w:p>
    <w:p>
      <w:pPr>
        <w:pStyle w:val="ListParagraph"/>
        <w:numPr>
          <w:ilvl w:val="0"/>
          <w:numId w:val="2"/>
        </w:numPr>
      </w:pPr>
      <w:r>
        <w:rPr>
          <w:rFonts w:ascii="Arial" w:cs="Arial" w:eastAsia="Arial" w:hAnsi="Arial"/>
          <w:sz w:val="24"/>
          <w:szCs w:val="24"/>
        </w:rPr>
        <w:t xml:space="preserve">Gene expression analysis tools - RNA-seq processing</w:t>
      </w:r>
    </w:p>
    <w:p>
      <w:pPr>
        <w:pStyle w:val="ListParagraph"/>
        <w:numPr>
          <w:ilvl w:val="0"/>
          <w:numId w:val="2"/>
        </w:numPr>
      </w:pPr>
      <w:r>
        <w:rPr>
          <w:rFonts w:ascii="Arial" w:cs="Arial" w:eastAsia="Arial" w:hAnsi="Arial"/>
          <w:sz w:val="24"/>
          <w:szCs w:val="24"/>
        </w:rPr>
        <w:t xml:space="preserve">Pathway analysis platforms - functional enrichment</w:t>
      </w:r>
    </w:p>
    <w:p>
      <w:pPr>
        <w:pStyle w:val="ListParagraph"/>
        <w:numPr>
          <w:ilvl w:val="0"/>
          <w:numId w:val="2"/>
        </w:numPr>
      </w:pPr>
      <w:r>
        <w:rPr>
          <w:rFonts w:ascii="Arial" w:cs="Arial" w:eastAsia="Arial" w:hAnsi="Arial"/>
          <w:sz w:val="24"/>
          <w:szCs w:val="24"/>
        </w:rPr>
        <w:t xml:space="preserve">Statistical comparison and clustering tools</w:t>
      </w:r>
    </w:p>
    <w:p>
      <w:pPr>
        <w:pStyle w:val="ListParagraph"/>
        <w:numPr>
          <w:ilvl w:val="0"/>
          <w:numId w:val="2"/>
        </w:numPr>
      </w:pPr>
      <w:r>
        <w:rPr>
          <w:rFonts w:ascii="Arial" w:cs="Arial" w:eastAsia="Arial" w:hAnsi="Arial"/>
          <w:sz w:val="24"/>
          <w:szCs w:val="24"/>
        </w:rPr>
        <w:t xml:space="preserve">Data visualization and pattern recognition</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Which genes within clusters show divergent knockdown phenotypes?</w:t>
      </w:r>
    </w:p>
    <w:p>
      <w:pPr>
        <w:pStyle w:val="ListParagraph"/>
        <w:numPr>
          <w:ilvl w:val="0"/>
          <w:numId w:val="2"/>
        </w:numPr>
      </w:pPr>
      <w:r>
        <w:rPr>
          <w:rFonts w:ascii="Arial" w:cs="Arial" w:eastAsia="Arial" w:hAnsi="Arial"/>
          <w:i/>
          <w:iCs/>
          <w:sz w:val="24"/>
          <w:szCs w:val="24"/>
        </w:rPr>
        <w:t xml:space="preserve">Are there functional subtypes based on response patterns?</w:t>
      </w:r>
    </w:p>
    <w:p>
      <w:pPr>
        <w:pStyle w:val="ListParagraph"/>
        <w:numPr>
          <w:ilvl w:val="0"/>
          <w:numId w:val="2"/>
        </w:numPr>
      </w:pPr>
      <w:r>
        <w:rPr>
          <w:rFonts w:ascii="Arial" w:cs="Arial" w:eastAsia="Arial" w:hAnsi="Arial"/>
          <w:i/>
          <w:iCs/>
          <w:sz w:val="24"/>
          <w:szCs w:val="24"/>
        </w:rPr>
        <w:t xml:space="preserve">What pathway differences explain divergent responses?</w:t>
      </w:r>
    </w:p>
    <w:p>
      <w:pPr>
        <w:pStyle w:val="ListParagraph"/>
        <w:numPr>
          <w:ilvl w:val="0"/>
          <w:numId w:val="2"/>
        </w:numPr>
      </w:pPr>
      <w:r>
        <w:rPr>
          <w:rFonts w:ascii="Arial" w:cs="Arial" w:eastAsia="Arial" w:hAnsi="Arial"/>
          <w:i/>
          <w:iCs/>
          <w:sz w:val="24"/>
          <w:szCs w:val="24"/>
        </w:rPr>
        <w:t xml:space="preserve">How do individual gene effects aggregate within clusters?</w:t>
      </w:r>
    </w:p>
    <w:p>
      <w:pPr>
        <w:pStyle w:val="ListParagraph"/>
        <w:numPr>
          <w:ilvl w:val="0"/>
          <w:numId w:val="2"/>
        </w:numPr>
      </w:pPr>
      <w:r>
        <w:rPr>
          <w:rFonts w:ascii="Arial" w:cs="Arial" w:eastAsia="Arial" w:hAnsi="Arial"/>
          <w:i/>
          <w:iCs/>
          <w:sz w:val="24"/>
          <w:szCs w:val="24"/>
        </w:rPr>
        <w:t xml:space="preserve">What expression and regulatory patterns predict responses?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Functional heterogeneity maps within clusters</w:t>
      </w:r>
    </w:p>
    <w:p>
      <w:pPr>
        <w:pStyle w:val="ListParagraph"/>
        <w:numPr>
          <w:ilvl w:val="0"/>
          <w:numId w:val="2"/>
        </w:numPr>
      </w:pPr>
      <w:r>
        <w:rPr>
          <w:rFonts w:ascii="Arial" w:cs="Arial" w:eastAsia="Arial" w:hAnsi="Arial"/>
          <w:sz w:val="24"/>
          <w:szCs w:val="24"/>
        </w:rPr>
        <w:t xml:space="preserve">Divergent response pattern characterization</w:t>
      </w:r>
    </w:p>
    <w:p>
      <w:pPr>
        <w:pStyle w:val="ListParagraph"/>
        <w:numPr>
          <w:ilvl w:val="0"/>
          <w:numId w:val="2"/>
        </w:numPr>
      </w:pPr>
      <w:r>
        <w:rPr>
          <w:rFonts w:ascii="Arial" w:cs="Arial" w:eastAsia="Arial" w:hAnsi="Arial"/>
          <w:sz w:val="24"/>
          <w:szCs w:val="24"/>
        </w:rPr>
        <w:t xml:space="preserve">Phenotypic subtype classification and definitions</w:t>
      </w:r>
    </w:p>
    <w:p>
      <w:pPr>
        <w:pStyle w:val="ListParagraph"/>
        <w:numPr>
          <w:ilvl w:val="0"/>
          <w:numId w:val="2"/>
        </w:numPr>
      </w:pPr>
      <w:r>
        <w:rPr>
          <w:rFonts w:ascii="Arial" w:cs="Arial" w:eastAsia="Arial" w:hAnsi="Arial"/>
          <w:sz w:val="24"/>
          <w:szCs w:val="24"/>
        </w:rPr>
        <w:t xml:space="preserve">Pathway-level mechanistic differences</w:t>
      </w:r>
    </w:p>
    <w:p>
      <w:pPr>
        <w:pStyle w:val="ListParagraph"/>
        <w:numPr>
          <w:ilvl w:val="0"/>
          <w:numId w:val="2"/>
        </w:numPr>
      </w:pPr>
      <w:r>
        <w:rPr>
          <w:rFonts w:ascii="Arial" w:cs="Arial" w:eastAsia="Arial" w:hAnsi="Arial"/>
          <w:sz w:val="24"/>
          <w:szCs w:val="24"/>
        </w:rPr>
        <w:t xml:space="preserve">Expression signature associations with responses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Functional analysis documents with subtype characterization</w:t>
      </w:r>
    </w:p>
    <w:p>
      <w:pPr>
        <w:pStyle w:val="Heading2"/>
      </w:pPr>
      <w:r>
        <w:rPr>
          <w:rFonts w:ascii="Arial" w:cs="Arial" w:eastAsia="Arial" w:hAnsi="Arial"/>
          <w:b/>
          <w:bCs/>
          <w:sz w:val="28"/>
          <w:szCs w:val="28"/>
        </w:rPr>
        <w:t xml:space="preserve">Stage 2: Data Extraction &amp; Preprocessing</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Analyze rescue response heterogeneity and drug sensitivity variation.</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Pharmacological rescue response data for cluster genes</w:t>
      </w:r>
    </w:p>
    <w:p>
      <w:pPr>
        <w:pStyle w:val="ListParagraph"/>
        <w:numPr>
          <w:ilvl w:val="0"/>
          <w:numId w:val="2"/>
        </w:numPr>
      </w:pPr>
      <w:r>
        <w:rPr>
          <w:rFonts w:ascii="Arial" w:cs="Arial" w:eastAsia="Arial" w:hAnsi="Arial"/>
          <w:sz w:val="24"/>
          <w:szCs w:val="24"/>
        </w:rPr>
        <w:t xml:space="preserve">Dose-response and efficacy variation across genes</w:t>
      </w:r>
    </w:p>
    <w:p>
      <w:pPr>
        <w:pStyle w:val="ListParagraph"/>
        <w:numPr>
          <w:ilvl w:val="0"/>
          <w:numId w:val="2"/>
        </w:numPr>
      </w:pPr>
      <w:r>
        <w:rPr>
          <w:rFonts w:ascii="Arial" w:cs="Arial" w:eastAsia="Arial" w:hAnsi="Arial"/>
          <w:sz w:val="24"/>
          <w:szCs w:val="24"/>
        </w:rPr>
        <w:t xml:space="preserve">Mechanism of action and target specificity effects</w:t>
      </w:r>
    </w:p>
    <w:p>
      <w:pPr>
        <w:pStyle w:val="ListParagraph"/>
        <w:numPr>
          <w:ilvl w:val="0"/>
          <w:numId w:val="2"/>
        </w:numPr>
      </w:pPr>
      <w:r>
        <w:rPr>
          <w:rFonts w:ascii="Arial" w:cs="Arial" w:eastAsia="Arial" w:hAnsi="Arial"/>
          <w:sz w:val="24"/>
          <w:szCs w:val="24"/>
        </w:rPr>
        <w:t xml:space="preserve">Cell type and context-dependent responses</w:t>
      </w:r>
    </w:p>
    <w:p>
      <w:pPr>
        <w:pStyle w:val="ListParagraph"/>
        <w:numPr>
          <w:ilvl w:val="0"/>
          <w:numId w:val="2"/>
        </w:numPr>
      </w:pPr>
      <w:r>
        <w:rPr>
          <w:rFonts w:ascii="Arial" w:cs="Arial" w:eastAsia="Arial" w:hAnsi="Arial"/>
          <w:sz w:val="24"/>
          <w:szCs w:val="24"/>
        </w:rPr>
        <w:t xml:space="preserve">Precedent for heterogeneous drug responses in disease</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Optopatch and cell-based assay data</w:t>
      </w:r>
    </w:p>
    <w:p>
      <w:pPr>
        <w:pStyle w:val="ListParagraph"/>
        <w:numPr>
          <w:ilvl w:val="0"/>
          <w:numId w:val="2"/>
        </w:numPr>
      </w:pPr>
      <w:r>
        <w:rPr>
          <w:rFonts w:ascii="Arial" w:cs="Arial" w:eastAsia="Arial" w:hAnsi="Arial"/>
          <w:sz w:val="24"/>
          <w:szCs w:val="24"/>
        </w:rPr>
        <w:t xml:space="preserve">Dose-response analysis and EC50 calculation</w:t>
      </w:r>
    </w:p>
    <w:p>
      <w:pPr>
        <w:pStyle w:val="ListParagraph"/>
        <w:numPr>
          <w:ilvl w:val="0"/>
          <w:numId w:val="2"/>
        </w:numPr>
      </w:pPr>
      <w:r>
        <w:rPr>
          <w:rFonts w:ascii="Arial" w:cs="Arial" w:eastAsia="Arial" w:hAnsi="Arial"/>
          <w:sz w:val="24"/>
          <w:szCs w:val="24"/>
        </w:rPr>
        <w:t xml:space="preserve">Statistical comparison tools - ANOVA, linear modeling</w:t>
      </w:r>
    </w:p>
    <w:p>
      <w:pPr>
        <w:pStyle w:val="ListParagraph"/>
        <w:numPr>
          <w:ilvl w:val="0"/>
          <w:numId w:val="2"/>
        </w:numPr>
      </w:pPr>
      <w:r>
        <w:rPr>
          <w:rFonts w:ascii="Arial" w:cs="Arial" w:eastAsia="Arial" w:hAnsi="Arial"/>
          <w:sz w:val="24"/>
          <w:szCs w:val="24"/>
        </w:rPr>
        <w:t xml:space="preserve">Cell-type specific response analysis</w:t>
      </w:r>
    </w:p>
    <w:p>
      <w:pPr>
        <w:pStyle w:val="ListParagraph"/>
        <w:numPr>
          <w:ilvl w:val="0"/>
          <w:numId w:val="2"/>
        </w:numPr>
      </w:pPr>
      <w:r>
        <w:rPr>
          <w:rFonts w:ascii="Arial" w:cs="Arial" w:eastAsia="Arial" w:hAnsi="Arial"/>
          <w:sz w:val="24"/>
          <w:szCs w:val="24"/>
        </w:rPr>
        <w:t xml:space="preserve">Disease subtype response comparison databases</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Do different cluster genes show different drug sensitivities?</w:t>
      </w:r>
    </w:p>
    <w:p>
      <w:pPr>
        <w:pStyle w:val="ListParagraph"/>
        <w:numPr>
          <w:ilvl w:val="0"/>
          <w:numId w:val="2"/>
        </w:numPr>
      </w:pPr>
      <w:r>
        <w:rPr>
          <w:rFonts w:ascii="Arial" w:cs="Arial" w:eastAsia="Arial" w:hAnsi="Arial"/>
          <w:i/>
          <w:iCs/>
          <w:sz w:val="24"/>
          <w:szCs w:val="24"/>
        </w:rPr>
        <w:t xml:space="preserve">Are there genes resistant to pharmacological rescue?</w:t>
      </w:r>
    </w:p>
    <w:p>
      <w:pPr>
        <w:pStyle w:val="ListParagraph"/>
        <w:numPr>
          <w:ilvl w:val="0"/>
          <w:numId w:val="2"/>
        </w:numPr>
      </w:pPr>
      <w:r>
        <w:rPr>
          <w:rFonts w:ascii="Arial" w:cs="Arial" w:eastAsia="Arial" w:hAnsi="Arial"/>
          <w:i/>
          <w:iCs/>
          <w:sz w:val="24"/>
          <w:szCs w:val="24"/>
        </w:rPr>
        <w:t xml:space="preserve">Do responses vary by cell type or neural phenotype?</w:t>
      </w:r>
    </w:p>
    <w:p>
      <w:pPr>
        <w:pStyle w:val="ListParagraph"/>
        <w:numPr>
          <w:ilvl w:val="0"/>
          <w:numId w:val="2"/>
        </w:numPr>
      </w:pPr>
      <w:r>
        <w:rPr>
          <w:rFonts w:ascii="Arial" w:cs="Arial" w:eastAsia="Arial" w:hAnsi="Arial"/>
          <w:i/>
          <w:iCs/>
          <w:sz w:val="24"/>
          <w:szCs w:val="24"/>
        </w:rPr>
        <w:t xml:space="preserve">What mechanism explains differential drug responses?</w:t>
      </w:r>
    </w:p>
    <w:p>
      <w:pPr>
        <w:pStyle w:val="ListParagraph"/>
        <w:numPr>
          <w:ilvl w:val="0"/>
          <w:numId w:val="2"/>
        </w:numPr>
      </w:pPr>
      <w:r>
        <w:rPr>
          <w:rFonts w:ascii="Arial" w:cs="Arial" w:eastAsia="Arial" w:hAnsi="Arial"/>
          <w:i/>
          <w:iCs/>
          <w:sz w:val="24"/>
          <w:szCs w:val="24"/>
        </w:rPr>
        <w:t xml:space="preserve">Are there genetic variants predicting response variation?</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Drug response heterogeneity characterization per cluster</w:t>
      </w:r>
    </w:p>
    <w:p>
      <w:pPr>
        <w:pStyle w:val="ListParagraph"/>
        <w:numPr>
          <w:ilvl w:val="0"/>
          <w:numId w:val="2"/>
        </w:numPr>
      </w:pPr>
      <w:r>
        <w:rPr>
          <w:rFonts w:ascii="Arial" w:cs="Arial" w:eastAsia="Arial" w:hAnsi="Arial"/>
          <w:sz w:val="24"/>
          <w:szCs w:val="24"/>
        </w:rPr>
        <w:t xml:space="preserve">Responder vs. non-responder gene stratification</w:t>
      </w:r>
    </w:p>
    <w:p>
      <w:pPr>
        <w:pStyle w:val="ListParagraph"/>
        <w:numPr>
          <w:ilvl w:val="0"/>
          <w:numId w:val="2"/>
        </w:numPr>
      </w:pPr>
      <w:r>
        <w:rPr>
          <w:rFonts w:ascii="Arial" w:cs="Arial" w:eastAsia="Arial" w:hAnsi="Arial"/>
          <w:sz w:val="24"/>
          <w:szCs w:val="24"/>
        </w:rPr>
        <w:t xml:space="preserve">Cell-type specific and context-dependent responses</w:t>
      </w:r>
    </w:p>
    <w:p>
      <w:pPr>
        <w:pStyle w:val="ListParagraph"/>
        <w:numPr>
          <w:ilvl w:val="0"/>
          <w:numId w:val="2"/>
        </w:numPr>
      </w:pPr>
      <w:r>
        <w:rPr>
          <w:rFonts w:ascii="Arial" w:cs="Arial" w:eastAsia="Arial" w:hAnsi="Arial"/>
          <w:sz w:val="24"/>
          <w:szCs w:val="24"/>
        </w:rPr>
        <w:t xml:space="preserve">Mechanistic explanations for response divergence</w:t>
      </w:r>
    </w:p>
    <w:p>
      <w:pPr>
        <w:pStyle w:val="ListParagraph"/>
        <w:numPr>
          <w:ilvl w:val="0"/>
          <w:numId w:val="2"/>
        </w:numPr>
      </w:pPr>
      <w:r>
        <w:rPr>
          <w:rFonts w:ascii="Arial" w:cs="Arial" w:eastAsia="Arial" w:hAnsi="Arial"/>
          <w:sz w:val="24"/>
          <w:szCs w:val="24"/>
        </w:rPr>
        <w:t xml:space="preserve">Biomarker identification for response prediction</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Drug response analysis and biomarker discovery reports</w:t>
      </w:r>
    </w:p>
    <w:p>
      <w:pPr>
        <w:pStyle w:val="Heading2"/>
      </w:pPr>
      <w:r>
        <w:rPr>
          <w:rFonts w:ascii="Arial" w:cs="Arial" w:eastAsia="Arial" w:hAnsi="Arial"/>
          <w:b/>
          <w:bCs/>
          <w:sz w:val="28"/>
          <w:szCs w:val="28"/>
        </w:rPr>
        <w:t xml:space="preserve">Stage 3: Computational Analysis &amp; Integration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Identify molecular signatures associated with response phenotypes.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Functional heterogeneity and drug response data</w:t>
      </w:r>
    </w:p>
    <w:p>
      <w:pPr>
        <w:pStyle w:val="ListParagraph"/>
        <w:numPr>
          <w:ilvl w:val="0"/>
          <w:numId w:val="2"/>
        </w:numPr>
      </w:pPr>
      <w:r>
        <w:rPr>
          <w:rFonts w:ascii="Arial" w:cs="Arial" w:eastAsia="Arial" w:hAnsi="Arial"/>
          <w:sz w:val="24"/>
          <w:szCs w:val="24"/>
        </w:rPr>
        <w:t xml:space="preserve">Gene expression and regulatory profiling</w:t>
      </w:r>
    </w:p>
    <w:p>
      <w:pPr>
        <w:pStyle w:val="ListParagraph"/>
        <w:numPr>
          <w:ilvl w:val="0"/>
          <w:numId w:val="2"/>
        </w:numPr>
      </w:pPr>
      <w:r>
        <w:rPr>
          <w:rFonts w:ascii="Arial" w:cs="Arial" w:eastAsia="Arial" w:hAnsi="Arial"/>
          <w:sz w:val="24"/>
          <w:szCs w:val="24"/>
        </w:rPr>
        <w:t xml:space="preserve">Genetic variant and mutation information</w:t>
      </w:r>
    </w:p>
    <w:p>
      <w:pPr>
        <w:pStyle w:val="ListParagraph"/>
        <w:numPr>
          <w:ilvl w:val="0"/>
          <w:numId w:val="2"/>
        </w:numPr>
      </w:pPr>
      <w:r>
        <w:rPr>
          <w:rFonts w:ascii="Arial" w:cs="Arial" w:eastAsia="Arial" w:hAnsi="Arial"/>
          <w:sz w:val="24"/>
          <w:szCs w:val="24"/>
        </w:rPr>
        <w:t xml:space="preserve">Epigenetic and chromatin state data</w:t>
      </w:r>
    </w:p>
    <w:p>
      <w:pPr>
        <w:pStyle w:val="ListParagraph"/>
        <w:numPr>
          <w:ilvl w:val="0"/>
          <w:numId w:val="2"/>
        </w:numPr>
      </w:pPr>
      <w:r>
        <w:rPr>
          <w:rFonts w:ascii="Arial" w:cs="Arial" w:eastAsia="Arial" w:hAnsi="Arial"/>
          <w:sz w:val="24"/>
          <w:szCs w:val="24"/>
        </w:rPr>
        <w:t xml:space="preserve">Patient-derived data and clinical phenotypes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Gene expression analysis - differential expression, co-expression</w:t>
      </w:r>
    </w:p>
    <w:p>
      <w:pPr>
        <w:pStyle w:val="ListParagraph"/>
        <w:numPr>
          <w:ilvl w:val="0"/>
          <w:numId w:val="2"/>
        </w:numPr>
      </w:pPr>
      <w:r>
        <w:rPr>
          <w:rFonts w:ascii="Arial" w:cs="Arial" w:eastAsia="Arial" w:hAnsi="Arial"/>
          <w:sz w:val="24"/>
          <w:szCs w:val="24"/>
        </w:rPr>
        <w:t xml:space="preserve">Machine learning - classification and biomarker discovery</w:t>
      </w:r>
    </w:p>
    <w:p>
      <w:pPr>
        <w:pStyle w:val="ListParagraph"/>
        <w:numPr>
          <w:ilvl w:val="0"/>
          <w:numId w:val="2"/>
        </w:numPr>
      </w:pPr>
      <w:r>
        <w:rPr>
          <w:rFonts w:ascii="Arial" w:cs="Arial" w:eastAsia="Arial" w:hAnsi="Arial"/>
          <w:sz w:val="24"/>
          <w:szCs w:val="24"/>
        </w:rPr>
        <w:t xml:space="preserve">Genomic variant analysis and GWAS tools</w:t>
      </w:r>
    </w:p>
    <w:p>
      <w:pPr>
        <w:pStyle w:val="ListParagraph"/>
        <w:numPr>
          <w:ilvl w:val="0"/>
          <w:numId w:val="2"/>
        </w:numPr>
      </w:pPr>
      <w:r>
        <w:rPr>
          <w:rFonts w:ascii="Arial" w:cs="Arial" w:eastAsia="Arial" w:hAnsi="Arial"/>
          <w:sz w:val="24"/>
          <w:szCs w:val="24"/>
        </w:rPr>
        <w:t xml:space="preserve">Epigenetic profiling and chromatin analysis</w:t>
      </w:r>
    </w:p>
    <w:p>
      <w:pPr>
        <w:pStyle w:val="ListParagraph"/>
        <w:numPr>
          <w:ilvl w:val="0"/>
          <w:numId w:val="2"/>
        </w:numPr>
      </w:pPr>
      <w:r>
        <w:rPr>
          <w:rFonts w:ascii="Arial" w:cs="Arial" w:eastAsia="Arial" w:hAnsi="Arial"/>
          <w:sz w:val="24"/>
          <w:szCs w:val="24"/>
        </w:rPr>
        <w:t xml:space="preserve">Biomarker validation and clinical association studies</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What expression signatures differentiate responder subtypes?</w:t>
      </w:r>
    </w:p>
    <w:p>
      <w:pPr>
        <w:pStyle w:val="ListParagraph"/>
        <w:numPr>
          <w:ilvl w:val="0"/>
          <w:numId w:val="2"/>
        </w:numPr>
      </w:pPr>
      <w:r>
        <w:rPr>
          <w:rFonts w:ascii="Arial" w:cs="Arial" w:eastAsia="Arial" w:hAnsi="Arial"/>
          <w:i/>
          <w:iCs/>
          <w:sz w:val="24"/>
          <w:szCs w:val="24"/>
        </w:rPr>
        <w:t xml:space="preserve">Are there genetic variants associated with response phenotypes?</w:t>
      </w:r>
    </w:p>
    <w:p>
      <w:pPr>
        <w:pStyle w:val="ListParagraph"/>
        <w:numPr>
          <w:ilvl w:val="0"/>
          <w:numId w:val="2"/>
        </w:numPr>
      </w:pPr>
      <w:r>
        <w:rPr>
          <w:rFonts w:ascii="Arial" w:cs="Arial" w:eastAsia="Arial" w:hAnsi="Arial"/>
          <w:i/>
          <w:iCs/>
          <w:sz w:val="24"/>
          <w:szCs w:val="24"/>
        </w:rPr>
        <w:t xml:space="preserve">Do epigenetic patterns predict drug sensitivity?</w:t>
      </w:r>
    </w:p>
    <w:p>
      <w:pPr>
        <w:pStyle w:val="ListParagraph"/>
        <w:numPr>
          <w:ilvl w:val="0"/>
          <w:numId w:val="2"/>
        </w:numPr>
      </w:pPr>
      <w:r>
        <w:rPr>
          <w:rFonts w:ascii="Arial" w:cs="Arial" w:eastAsia="Arial" w:hAnsi="Arial"/>
          <w:i/>
          <w:iCs/>
          <w:sz w:val="24"/>
          <w:szCs w:val="24"/>
        </w:rPr>
        <w:t xml:space="preserve">How stable and reproducible are molecular signatures?</w:t>
      </w:r>
    </w:p>
    <w:p>
      <w:pPr>
        <w:pStyle w:val="ListParagraph"/>
        <w:numPr>
          <w:ilvl w:val="0"/>
          <w:numId w:val="2"/>
        </w:numPr>
      </w:pPr>
      <w:r>
        <w:rPr>
          <w:rFonts w:ascii="Arial" w:cs="Arial" w:eastAsia="Arial" w:hAnsi="Arial"/>
          <w:i/>
          <w:iCs/>
          <w:sz w:val="24"/>
          <w:szCs w:val="24"/>
        </w:rPr>
        <w:t xml:space="preserve">Can we validate signatures in independent patient cohorts?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Molecular signature discovery and characterization</w:t>
      </w:r>
    </w:p>
    <w:p>
      <w:pPr>
        <w:pStyle w:val="ListParagraph"/>
        <w:numPr>
          <w:ilvl w:val="0"/>
          <w:numId w:val="2"/>
        </w:numPr>
      </w:pPr>
      <w:r>
        <w:rPr>
          <w:rFonts w:ascii="Arial" w:cs="Arial" w:eastAsia="Arial" w:hAnsi="Arial"/>
          <w:sz w:val="24"/>
          <w:szCs w:val="24"/>
        </w:rPr>
        <w:t xml:space="preserve">Gene expression and regulatory biomarker panels</w:t>
      </w:r>
    </w:p>
    <w:p>
      <w:pPr>
        <w:pStyle w:val="ListParagraph"/>
        <w:numPr>
          <w:ilvl w:val="0"/>
          <w:numId w:val="2"/>
        </w:numPr>
      </w:pPr>
      <w:r>
        <w:rPr>
          <w:rFonts w:ascii="Arial" w:cs="Arial" w:eastAsia="Arial" w:hAnsi="Arial"/>
          <w:sz w:val="24"/>
          <w:szCs w:val="24"/>
        </w:rPr>
        <w:t xml:space="preserve">Genetic variant associations with phenotypes</w:t>
      </w:r>
    </w:p>
    <w:p>
      <w:pPr>
        <w:pStyle w:val="ListParagraph"/>
        <w:numPr>
          <w:ilvl w:val="0"/>
          <w:numId w:val="2"/>
        </w:numPr>
      </w:pPr>
      <w:r>
        <w:rPr>
          <w:rFonts w:ascii="Arial" w:cs="Arial" w:eastAsia="Arial" w:hAnsi="Arial"/>
          <w:sz w:val="24"/>
          <w:szCs w:val="24"/>
        </w:rPr>
        <w:t xml:space="preserve">Epigenetic and chromatin state signatures</w:t>
      </w:r>
    </w:p>
    <w:p>
      <w:pPr>
        <w:pStyle w:val="ListParagraph"/>
        <w:numPr>
          <w:ilvl w:val="0"/>
          <w:numId w:val="2"/>
        </w:numPr>
      </w:pPr>
      <w:r>
        <w:rPr>
          <w:rFonts w:ascii="Arial" w:cs="Arial" w:eastAsia="Arial" w:hAnsi="Arial"/>
          <w:sz w:val="24"/>
          <w:szCs w:val="24"/>
        </w:rPr>
        <w:t xml:space="preserve">Biomarker validation and clinical association data</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Biomarker discovery and validation reports</w:t>
      </w:r>
    </w:p>
    <w:p>
      <w:pPr>
        <w:pStyle w:val="Heading2"/>
      </w:pPr>
      <w:r>
        <w:rPr>
          <w:rFonts w:ascii="Arial" w:cs="Arial" w:eastAsia="Arial" w:hAnsi="Arial"/>
          <w:b/>
          <w:bCs/>
          <w:sz w:val="28"/>
          <w:szCs w:val="28"/>
        </w:rPr>
        <w:t xml:space="preserve">Stage 4: Cross-Reference Validation &amp; Quality Control</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Develop patient stratification and precision medicine strategies.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Identified molecular subtypes and biomarkers</w:t>
      </w:r>
    </w:p>
    <w:p>
      <w:pPr>
        <w:pStyle w:val="ListParagraph"/>
        <w:numPr>
          <w:ilvl w:val="0"/>
          <w:numId w:val="2"/>
        </w:numPr>
      </w:pPr>
      <w:r>
        <w:rPr>
          <w:rFonts w:ascii="Arial" w:cs="Arial" w:eastAsia="Arial" w:hAnsi="Arial"/>
          <w:sz w:val="24"/>
          <w:szCs w:val="24"/>
        </w:rPr>
        <w:t xml:space="preserve">Response prediction models and accuracy</w:t>
      </w:r>
    </w:p>
    <w:p>
      <w:pPr>
        <w:pStyle w:val="ListParagraph"/>
        <w:numPr>
          <w:ilvl w:val="0"/>
          <w:numId w:val="2"/>
        </w:numPr>
      </w:pPr>
      <w:r>
        <w:rPr>
          <w:rFonts w:ascii="Arial" w:cs="Arial" w:eastAsia="Arial" w:hAnsi="Arial"/>
          <w:sz w:val="24"/>
          <w:szCs w:val="24"/>
        </w:rPr>
        <w:t xml:space="preserve">Clinical phenotype associations</w:t>
      </w:r>
    </w:p>
    <w:p>
      <w:pPr>
        <w:pStyle w:val="ListParagraph"/>
        <w:numPr>
          <w:ilvl w:val="0"/>
          <w:numId w:val="2"/>
        </w:numPr>
      </w:pPr>
      <w:r>
        <w:rPr>
          <w:rFonts w:ascii="Arial" w:cs="Arial" w:eastAsia="Arial" w:hAnsi="Arial"/>
          <w:sz w:val="24"/>
          <w:szCs w:val="24"/>
        </w:rPr>
        <w:t xml:space="preserve">Regulatory and implementation considerations</w:t>
      </w:r>
    </w:p>
    <w:p>
      <w:pPr>
        <w:pStyle w:val="ListParagraph"/>
        <w:numPr>
          <w:ilvl w:val="0"/>
          <w:numId w:val="2"/>
        </w:numPr>
      </w:pPr>
      <w:r>
        <w:rPr>
          <w:rFonts w:ascii="Arial" w:cs="Arial" w:eastAsia="Arial" w:hAnsi="Arial"/>
          <w:sz w:val="24"/>
          <w:szCs w:val="24"/>
        </w:rPr>
        <w:t xml:space="preserve">Therapeutic options for each subtype</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Clinical decision support and risk stratification tools</w:t>
      </w:r>
    </w:p>
    <w:p>
      <w:pPr>
        <w:pStyle w:val="ListParagraph"/>
        <w:numPr>
          <w:ilvl w:val="0"/>
          <w:numId w:val="2"/>
        </w:numPr>
      </w:pPr>
      <w:r>
        <w:rPr>
          <w:rFonts w:ascii="Arial" w:cs="Arial" w:eastAsia="Arial" w:hAnsi="Arial"/>
          <w:sz w:val="24"/>
          <w:szCs w:val="24"/>
        </w:rPr>
        <w:t xml:space="preserve">Biomarker assay development and validation</w:t>
      </w:r>
    </w:p>
    <w:p>
      <w:pPr>
        <w:pStyle w:val="ListParagraph"/>
        <w:numPr>
          <w:ilvl w:val="0"/>
          <w:numId w:val="2"/>
        </w:numPr>
      </w:pPr>
      <w:r>
        <w:rPr>
          <w:rFonts w:ascii="Arial" w:cs="Arial" w:eastAsia="Arial" w:hAnsi="Arial"/>
          <w:sz w:val="24"/>
          <w:szCs w:val="24"/>
        </w:rPr>
        <w:t xml:space="preserve">Predictive modeling and machine learning</w:t>
      </w:r>
    </w:p>
    <w:p>
      <w:pPr>
        <w:pStyle w:val="ListParagraph"/>
        <w:numPr>
          <w:ilvl w:val="0"/>
          <w:numId w:val="2"/>
        </w:numPr>
      </w:pPr>
      <w:r>
        <w:rPr>
          <w:rFonts w:ascii="Arial" w:cs="Arial" w:eastAsia="Arial" w:hAnsi="Arial"/>
          <w:sz w:val="24"/>
          <w:szCs w:val="24"/>
        </w:rPr>
        <w:t xml:space="preserve">Regulatory guidances on companion diagnostics</w:t>
      </w:r>
    </w:p>
    <w:p>
      <w:pPr>
        <w:pStyle w:val="ListParagraph"/>
        <w:numPr>
          <w:ilvl w:val="0"/>
          <w:numId w:val="2"/>
        </w:numPr>
      </w:pPr>
      <w:r>
        <w:rPr>
          <w:rFonts w:ascii="Arial" w:cs="Arial" w:eastAsia="Arial" w:hAnsi="Arial"/>
          <w:sz w:val="24"/>
          <w:szCs w:val="24"/>
        </w:rPr>
        <w:t xml:space="preserve">Clinical trial and outcome databases</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Can we develop clinical algorithms for patient stratification?</w:t>
      </w:r>
    </w:p>
    <w:p>
      <w:pPr>
        <w:pStyle w:val="ListParagraph"/>
        <w:numPr>
          <w:ilvl w:val="0"/>
          <w:numId w:val="2"/>
        </w:numPr>
      </w:pPr>
      <w:r>
        <w:rPr>
          <w:rFonts w:ascii="Arial" w:cs="Arial" w:eastAsia="Arial" w:hAnsi="Arial"/>
          <w:i/>
          <w:iCs/>
          <w:sz w:val="24"/>
          <w:szCs w:val="24"/>
        </w:rPr>
        <w:t xml:space="preserve">What biomarker assays would enable patient selection?</w:t>
      </w:r>
    </w:p>
    <w:p>
      <w:pPr>
        <w:pStyle w:val="ListParagraph"/>
        <w:numPr>
          <w:ilvl w:val="0"/>
          <w:numId w:val="2"/>
        </w:numPr>
      </w:pPr>
      <w:r>
        <w:rPr>
          <w:rFonts w:ascii="Arial" w:cs="Arial" w:eastAsia="Arial" w:hAnsi="Arial"/>
          <w:i/>
          <w:iCs/>
          <w:sz w:val="24"/>
          <w:szCs w:val="24"/>
        </w:rPr>
        <w:t xml:space="preserve">Should different subtypes receive different therapeutics?</w:t>
      </w:r>
    </w:p>
    <w:p>
      <w:pPr>
        <w:pStyle w:val="ListParagraph"/>
        <w:numPr>
          <w:ilvl w:val="0"/>
          <w:numId w:val="2"/>
        </w:numPr>
      </w:pPr>
      <w:r>
        <w:rPr>
          <w:rFonts w:ascii="Arial" w:cs="Arial" w:eastAsia="Arial" w:hAnsi="Arial"/>
          <w:i/>
          <w:iCs/>
          <w:sz w:val="24"/>
          <w:szCs w:val="24"/>
        </w:rPr>
        <w:t xml:space="preserve">How accurate are prediction models in validation cohorts?</w:t>
      </w:r>
    </w:p>
    <w:p>
      <w:pPr>
        <w:pStyle w:val="ListParagraph"/>
        <w:numPr>
          <w:ilvl w:val="0"/>
          <w:numId w:val="2"/>
        </w:numPr>
      </w:pPr>
      <w:r>
        <w:rPr>
          <w:rFonts w:ascii="Arial" w:cs="Arial" w:eastAsia="Arial" w:hAnsi="Arial"/>
          <w:i/>
          <w:iCs/>
          <w:sz w:val="24"/>
          <w:szCs w:val="24"/>
        </w:rPr>
        <w:t xml:space="preserve">What regulatory approvals are needed for companion diagnostics?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Patient stratification algorithms and clinical decision tools</w:t>
      </w:r>
    </w:p>
    <w:p>
      <w:pPr>
        <w:pStyle w:val="ListParagraph"/>
        <w:numPr>
          <w:ilvl w:val="0"/>
          <w:numId w:val="2"/>
        </w:numPr>
      </w:pPr>
      <w:r>
        <w:rPr>
          <w:rFonts w:ascii="Arial" w:cs="Arial" w:eastAsia="Arial" w:hAnsi="Arial"/>
          <w:sz w:val="24"/>
          <w:szCs w:val="24"/>
        </w:rPr>
        <w:t xml:space="preserve">Companion diagnostic specifications and validation</w:t>
      </w:r>
    </w:p>
    <w:p>
      <w:pPr>
        <w:pStyle w:val="ListParagraph"/>
        <w:numPr>
          <w:ilvl w:val="0"/>
          <w:numId w:val="2"/>
        </w:numPr>
      </w:pPr>
      <w:r>
        <w:rPr>
          <w:rFonts w:ascii="Arial" w:cs="Arial" w:eastAsia="Arial" w:hAnsi="Arial"/>
          <w:sz w:val="24"/>
          <w:szCs w:val="24"/>
        </w:rPr>
        <w:t xml:space="preserve">Subtype-specific therapeutic recommendations</w:t>
      </w:r>
    </w:p>
    <w:p>
      <w:pPr>
        <w:pStyle w:val="ListParagraph"/>
        <w:numPr>
          <w:ilvl w:val="0"/>
          <w:numId w:val="2"/>
        </w:numPr>
      </w:pPr>
      <w:r>
        <w:rPr>
          <w:rFonts w:ascii="Arial" w:cs="Arial" w:eastAsia="Arial" w:hAnsi="Arial"/>
          <w:sz w:val="24"/>
          <w:szCs w:val="24"/>
        </w:rPr>
        <w:t xml:space="preserve">Predictive model performance and clinical utility</w:t>
      </w:r>
    </w:p>
    <w:p>
      <w:pPr>
        <w:pStyle w:val="ListParagraph"/>
        <w:numPr>
          <w:ilvl w:val="0"/>
          <w:numId w:val="2"/>
        </w:numPr>
      </w:pPr>
      <w:r>
        <w:rPr>
          <w:rFonts w:ascii="Arial" w:cs="Arial" w:eastAsia="Arial" w:hAnsi="Arial"/>
          <w:sz w:val="24"/>
          <w:szCs w:val="24"/>
        </w:rPr>
        <w:t xml:space="preserve">Regulatory pathway and implementation guidance</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Precision medicine implementation guides and decision tools</w:t>
      </w:r>
    </w:p>
    <w:p>
      <w:pPr>
        <w:pStyle w:val="Heading2"/>
      </w:pPr>
      <w:r>
        <w:rPr>
          <w:rFonts w:ascii="Arial" w:cs="Arial" w:eastAsia="Arial" w:hAnsi="Arial"/>
          <w:b/>
          <w:bCs/>
          <w:sz w:val="28"/>
          <w:szCs w:val="28"/>
        </w:rPr>
        <w:t xml:space="preserve">Stage 5: Synthesis &amp; Interpretation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Synthesize subtype analysis into therapeutic strategy recommendations.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Functional subtypes and molecular signatures</w:t>
      </w:r>
    </w:p>
    <w:p>
      <w:pPr>
        <w:pStyle w:val="ListParagraph"/>
        <w:numPr>
          <w:ilvl w:val="0"/>
          <w:numId w:val="2"/>
        </w:numPr>
      </w:pPr>
      <w:r>
        <w:rPr>
          <w:rFonts w:ascii="Arial" w:cs="Arial" w:eastAsia="Arial" w:hAnsi="Arial"/>
          <w:sz w:val="24"/>
          <w:szCs w:val="24"/>
        </w:rPr>
        <w:t xml:space="preserve">Drug response heterogeneity and biomarkers</w:t>
      </w:r>
    </w:p>
    <w:p>
      <w:pPr>
        <w:pStyle w:val="ListParagraph"/>
        <w:numPr>
          <w:ilvl w:val="0"/>
          <w:numId w:val="2"/>
        </w:numPr>
      </w:pPr>
      <w:r>
        <w:rPr>
          <w:rFonts w:ascii="Arial" w:cs="Arial" w:eastAsia="Arial" w:hAnsi="Arial"/>
          <w:sz w:val="24"/>
          <w:szCs w:val="24"/>
        </w:rPr>
        <w:t xml:space="preserve">Patient stratification and precision medicine approaches</w:t>
      </w:r>
    </w:p>
    <w:p>
      <w:pPr>
        <w:pStyle w:val="ListParagraph"/>
        <w:numPr>
          <w:ilvl w:val="0"/>
          <w:numId w:val="2"/>
        </w:numPr>
      </w:pPr>
      <w:r>
        <w:rPr>
          <w:rFonts w:ascii="Arial" w:cs="Arial" w:eastAsia="Arial" w:hAnsi="Arial"/>
          <w:sz w:val="24"/>
          <w:szCs w:val="24"/>
        </w:rPr>
        <w:t xml:space="preserve">Portfolio implications and program prioritization</w:t>
      </w:r>
    </w:p>
    <w:p>
      <w:pPr>
        <w:pStyle w:val="ListParagraph"/>
        <w:numPr>
          <w:ilvl w:val="0"/>
          <w:numId w:val="2"/>
        </w:numPr>
      </w:pPr>
      <w:r>
        <w:rPr>
          <w:rFonts w:ascii="Arial" w:cs="Arial" w:eastAsia="Arial" w:hAnsi="Arial"/>
          <w:sz w:val="24"/>
          <w:szCs w:val="24"/>
        </w:rPr>
        <w:t xml:space="preserve">Regulatory and clinical trial considerations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Portfolio optimization and strategy modeling</w:t>
      </w:r>
    </w:p>
    <w:p>
      <w:pPr>
        <w:pStyle w:val="ListParagraph"/>
        <w:numPr>
          <w:ilvl w:val="0"/>
          <w:numId w:val="2"/>
        </w:numPr>
      </w:pPr>
      <w:r>
        <w:rPr>
          <w:rFonts w:ascii="Arial" w:cs="Arial" w:eastAsia="Arial" w:hAnsi="Arial"/>
          <w:sz w:val="24"/>
          <w:szCs w:val="24"/>
        </w:rPr>
        <w:t xml:space="preserve">Clinical trial design and patient selection simulation</w:t>
      </w:r>
    </w:p>
    <w:p>
      <w:pPr>
        <w:pStyle w:val="ListParagraph"/>
        <w:numPr>
          <w:ilvl w:val="0"/>
          <w:numId w:val="2"/>
        </w:numPr>
      </w:pPr>
      <w:r>
        <w:rPr>
          <w:rFonts w:ascii="Arial" w:cs="Arial" w:eastAsia="Arial" w:hAnsi="Arial"/>
          <w:sz w:val="24"/>
          <w:szCs w:val="24"/>
        </w:rPr>
        <w:t xml:space="preserve">Regulatory and companion diagnostic planning</w:t>
      </w:r>
    </w:p>
    <w:p>
      <w:pPr>
        <w:pStyle w:val="ListParagraph"/>
        <w:numPr>
          <w:ilvl w:val="0"/>
          <w:numId w:val="2"/>
        </w:numPr>
      </w:pPr>
      <w:r>
        <w:rPr>
          <w:rFonts w:ascii="Arial" w:cs="Arial" w:eastAsia="Arial" w:hAnsi="Arial"/>
          <w:sz w:val="24"/>
          <w:szCs w:val="24"/>
        </w:rPr>
        <w:t xml:space="preserve">Financial and commercial impact modeling</w:t>
      </w:r>
    </w:p>
    <w:p>
      <w:pPr>
        <w:pStyle w:val="ListParagraph"/>
        <w:numPr>
          <w:ilvl w:val="0"/>
          <w:numId w:val="2"/>
        </w:numPr>
      </w:pPr>
      <w:r>
        <w:rPr>
          <w:rFonts w:ascii="Arial" w:cs="Arial" w:eastAsia="Arial" w:hAnsi="Arial"/>
          <w:sz w:val="24"/>
          <w:szCs w:val="24"/>
        </w:rPr>
        <w:t xml:space="preserve">Risk and probability assessment</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Should we pursue subtype-specific therapeutic strategies?</w:t>
      </w:r>
    </w:p>
    <w:p>
      <w:pPr>
        <w:pStyle w:val="ListParagraph"/>
        <w:numPr>
          <w:ilvl w:val="0"/>
          <w:numId w:val="2"/>
        </w:numPr>
      </w:pPr>
      <w:r>
        <w:rPr>
          <w:rFonts w:ascii="Arial" w:cs="Arial" w:eastAsia="Arial" w:hAnsi="Arial"/>
          <w:i/>
          <w:iCs/>
          <w:sz w:val="24"/>
          <w:szCs w:val="24"/>
        </w:rPr>
        <w:t xml:space="preserve">Can we use biomarkers to increase clinical trial success?</w:t>
      </w:r>
    </w:p>
    <w:p>
      <w:pPr>
        <w:pStyle w:val="ListParagraph"/>
        <w:numPr>
          <w:ilvl w:val="0"/>
          <w:numId w:val="2"/>
        </w:numPr>
      </w:pPr>
      <w:r>
        <w:rPr>
          <w:rFonts w:ascii="Arial" w:cs="Arial" w:eastAsia="Arial" w:hAnsi="Arial"/>
          <w:i/>
          <w:iCs/>
          <w:sz w:val="24"/>
          <w:szCs w:val="24"/>
        </w:rPr>
        <w:t xml:space="preserve">What is the commercial opportunity for precision approaches?</w:t>
      </w:r>
    </w:p>
    <w:p>
      <w:pPr>
        <w:pStyle w:val="ListParagraph"/>
        <w:numPr>
          <w:ilvl w:val="0"/>
          <w:numId w:val="2"/>
        </w:numPr>
      </w:pPr>
      <w:r>
        <w:rPr>
          <w:rFonts w:ascii="Arial" w:cs="Arial" w:eastAsia="Arial" w:hAnsi="Arial"/>
          <w:i/>
          <w:iCs/>
          <w:sz w:val="24"/>
          <w:szCs w:val="24"/>
        </w:rPr>
        <w:t xml:space="preserve">How should portfolio strategy account for subtype heterogeneity?</w:t>
      </w:r>
    </w:p>
    <w:p>
      <w:pPr>
        <w:pStyle w:val="ListParagraph"/>
        <w:numPr>
          <w:ilvl w:val="0"/>
          <w:numId w:val="2"/>
        </w:numPr>
      </w:pPr>
      <w:r>
        <w:rPr>
          <w:rFonts w:ascii="Arial" w:cs="Arial" w:eastAsia="Arial" w:hAnsi="Arial"/>
          <w:i/>
          <w:iCs/>
          <w:sz w:val="24"/>
          <w:szCs w:val="24"/>
        </w:rPr>
        <w:t xml:space="preserve">What are the key clinical and regulatory milestones?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Subtype-stratified therapeutic strategies and recommendations</w:t>
      </w:r>
    </w:p>
    <w:p>
      <w:pPr>
        <w:pStyle w:val="ListParagraph"/>
        <w:numPr>
          <w:ilvl w:val="0"/>
          <w:numId w:val="2"/>
        </w:numPr>
      </w:pPr>
      <w:r>
        <w:rPr>
          <w:rFonts w:ascii="Arial" w:cs="Arial" w:eastAsia="Arial" w:hAnsi="Arial"/>
          <w:sz w:val="24"/>
          <w:szCs w:val="24"/>
        </w:rPr>
        <w:t xml:space="preserve">Clinical trial design incorporating biomarker stratification</w:t>
      </w:r>
    </w:p>
    <w:p>
      <w:pPr>
        <w:pStyle w:val="ListParagraph"/>
        <w:numPr>
          <w:ilvl w:val="0"/>
          <w:numId w:val="2"/>
        </w:numPr>
      </w:pPr>
      <w:r>
        <w:rPr>
          <w:rFonts w:ascii="Arial" w:cs="Arial" w:eastAsia="Arial" w:hAnsi="Arial"/>
          <w:sz w:val="24"/>
          <w:szCs w:val="24"/>
        </w:rPr>
        <w:t xml:space="preserve">Companion diagnostic and precision medicine strategy</w:t>
      </w:r>
    </w:p>
    <w:p>
      <w:pPr>
        <w:pStyle w:val="ListParagraph"/>
        <w:numPr>
          <w:ilvl w:val="0"/>
          <w:numId w:val="2"/>
        </w:numPr>
      </w:pPr>
      <w:r>
        <w:rPr>
          <w:rFonts w:ascii="Arial" w:cs="Arial" w:eastAsia="Arial" w:hAnsi="Arial"/>
          <w:sz w:val="24"/>
          <w:szCs w:val="24"/>
        </w:rPr>
        <w:t xml:space="preserve">Portfolio prioritization and program allocation</w:t>
      </w:r>
    </w:p>
    <w:p>
      <w:pPr>
        <w:pStyle w:val="ListParagraph"/>
        <w:numPr>
          <w:ilvl w:val="0"/>
          <w:numId w:val="2"/>
        </w:numPr>
      </w:pPr>
      <w:r>
        <w:rPr>
          <w:rFonts w:ascii="Arial" w:cs="Arial" w:eastAsia="Arial" w:hAnsi="Arial"/>
          <w:sz w:val="24"/>
          <w:szCs w:val="24"/>
        </w:rPr>
        <w:t xml:space="preserve">Financial and regulatory pathway analysis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Strategic therapeutic and portfolio recommendations</w:t>
      </w:r>
    </w:p>
    <w:p>
      <w:pPr>
        <w:pStyle w:val="Heading2"/>
      </w:pPr>
      <w:r>
        <w:rPr>
          <w:rFonts w:ascii="Arial" w:cs="Arial" w:eastAsia="Arial" w:hAnsi="Arial"/>
          <w:b/>
          <w:bCs/>
          <w:sz w:val="28"/>
          <w:szCs w:val="28"/>
        </w:rPr>
        <w:t xml:space="preserve">Stage 6: Output Generation &amp; Delivery</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Generate precision medicine implementation and clinical trial protocols.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Finalized subtype stratification and biomarker strategies</w:t>
      </w:r>
    </w:p>
    <w:p>
      <w:pPr>
        <w:pStyle w:val="ListParagraph"/>
        <w:numPr>
          <w:ilvl w:val="0"/>
          <w:numId w:val="2"/>
        </w:numPr>
      </w:pPr>
      <w:r>
        <w:rPr>
          <w:rFonts w:ascii="Arial" w:cs="Arial" w:eastAsia="Arial" w:hAnsi="Arial"/>
          <w:sz w:val="24"/>
          <w:szCs w:val="24"/>
        </w:rPr>
        <w:t xml:space="preserve">Therapeutic recommendations per subtype</w:t>
      </w:r>
    </w:p>
    <w:p>
      <w:pPr>
        <w:pStyle w:val="ListParagraph"/>
        <w:numPr>
          <w:ilvl w:val="0"/>
          <w:numId w:val="2"/>
        </w:numPr>
      </w:pPr>
      <w:r>
        <w:rPr>
          <w:rFonts w:ascii="Arial" w:cs="Arial" w:eastAsia="Arial" w:hAnsi="Arial"/>
          <w:sz w:val="24"/>
          <w:szCs w:val="24"/>
        </w:rPr>
        <w:t xml:space="preserve">Clinical trial designs with biomarker selection</w:t>
      </w:r>
    </w:p>
    <w:p>
      <w:pPr>
        <w:pStyle w:val="ListParagraph"/>
        <w:numPr>
          <w:ilvl w:val="0"/>
          <w:numId w:val="2"/>
        </w:numPr>
      </w:pPr>
      <w:r>
        <w:rPr>
          <w:rFonts w:ascii="Arial" w:cs="Arial" w:eastAsia="Arial" w:hAnsi="Arial"/>
          <w:sz w:val="24"/>
          <w:szCs w:val="24"/>
        </w:rPr>
        <w:t xml:space="preserve">Companion diagnostic specifications</w:t>
      </w:r>
    </w:p>
    <w:p>
      <w:pPr>
        <w:pStyle w:val="ListParagraph"/>
        <w:numPr>
          <w:ilvl w:val="0"/>
          <w:numId w:val="2"/>
        </w:numPr>
      </w:pPr>
      <w:r>
        <w:rPr>
          <w:rFonts w:ascii="Arial" w:cs="Arial" w:eastAsia="Arial" w:hAnsi="Arial"/>
          <w:sz w:val="24"/>
          <w:szCs w:val="24"/>
        </w:rPr>
        <w:t xml:space="preserve">Regulatory and implementation frameworks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Clinical trial protocol development tools</w:t>
      </w:r>
    </w:p>
    <w:p>
      <w:pPr>
        <w:pStyle w:val="ListParagraph"/>
        <w:numPr>
          <w:ilvl w:val="0"/>
          <w:numId w:val="2"/>
        </w:numPr>
      </w:pPr>
      <w:r>
        <w:rPr>
          <w:rFonts w:ascii="Arial" w:cs="Arial" w:eastAsia="Arial" w:hAnsi="Arial"/>
          <w:sz w:val="24"/>
          <w:szCs w:val="24"/>
        </w:rPr>
        <w:t xml:space="preserve">Biomarker assay development and validation</w:t>
      </w:r>
    </w:p>
    <w:p>
      <w:pPr>
        <w:pStyle w:val="ListParagraph"/>
        <w:numPr>
          <w:ilvl w:val="0"/>
          <w:numId w:val="2"/>
        </w:numPr>
      </w:pPr>
      <w:r>
        <w:rPr>
          <w:rFonts w:ascii="Arial" w:cs="Arial" w:eastAsia="Arial" w:hAnsi="Arial"/>
          <w:sz w:val="24"/>
          <w:szCs w:val="24"/>
        </w:rPr>
        <w:t xml:space="preserve">Patient selection and stratification algorithms</w:t>
      </w:r>
    </w:p>
    <w:p>
      <w:pPr>
        <w:pStyle w:val="ListParagraph"/>
        <w:numPr>
          <w:ilvl w:val="0"/>
          <w:numId w:val="2"/>
        </w:numPr>
      </w:pPr>
      <w:r>
        <w:rPr>
          <w:rFonts w:ascii="Arial" w:cs="Arial" w:eastAsia="Arial" w:hAnsi="Arial"/>
          <w:sz w:val="24"/>
          <w:szCs w:val="24"/>
        </w:rPr>
        <w:t xml:space="preserve">Regulatory filing and companion diagnostic templates</w:t>
      </w:r>
    </w:p>
    <w:p>
      <w:pPr>
        <w:pStyle w:val="ListParagraph"/>
        <w:numPr>
          <w:ilvl w:val="0"/>
          <w:numId w:val="2"/>
        </w:numPr>
      </w:pPr>
      <w:r>
        <w:rPr>
          <w:rFonts w:ascii="Arial" w:cs="Arial" w:eastAsia="Arial" w:hAnsi="Arial"/>
          <w:sz w:val="24"/>
          <w:szCs w:val="24"/>
        </w:rPr>
        <w:t xml:space="preserve">Outcome tracking and data management systems</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What are the detailed clinical trial protocols per subtype?</w:t>
      </w:r>
    </w:p>
    <w:p>
      <w:pPr>
        <w:pStyle w:val="ListParagraph"/>
        <w:numPr>
          <w:ilvl w:val="0"/>
          <w:numId w:val="2"/>
        </w:numPr>
      </w:pPr>
      <w:r>
        <w:rPr>
          <w:rFonts w:ascii="Arial" w:cs="Arial" w:eastAsia="Arial" w:hAnsi="Arial"/>
          <w:i/>
          <w:iCs/>
          <w:sz w:val="24"/>
          <w:szCs w:val="24"/>
        </w:rPr>
        <w:t xml:space="preserve">How should biomarker testing be integrated into trials?</w:t>
      </w:r>
    </w:p>
    <w:p>
      <w:pPr>
        <w:pStyle w:val="ListParagraph"/>
        <w:numPr>
          <w:ilvl w:val="0"/>
          <w:numId w:val="2"/>
        </w:numPr>
      </w:pPr>
      <w:r>
        <w:rPr>
          <w:rFonts w:ascii="Arial" w:cs="Arial" w:eastAsia="Arial" w:hAnsi="Arial"/>
          <w:i/>
          <w:iCs/>
          <w:sz w:val="24"/>
          <w:szCs w:val="24"/>
        </w:rPr>
        <w:t xml:space="preserve">What is the validation and regulatory pathway for diagnostics?</w:t>
      </w:r>
    </w:p>
    <w:p>
      <w:pPr>
        <w:pStyle w:val="ListParagraph"/>
        <w:numPr>
          <w:ilvl w:val="0"/>
          <w:numId w:val="2"/>
        </w:numPr>
      </w:pPr>
      <w:r>
        <w:rPr>
          <w:rFonts w:ascii="Arial" w:cs="Arial" w:eastAsia="Arial" w:hAnsi="Arial"/>
          <w:i/>
          <w:iCs/>
          <w:sz w:val="24"/>
          <w:szCs w:val="24"/>
        </w:rPr>
        <w:t xml:space="preserve">How will we identify and enroll stratified patient populations?</w:t>
      </w:r>
    </w:p>
    <w:p>
      <w:pPr>
        <w:pStyle w:val="ListParagraph"/>
        <w:numPr>
          <w:ilvl w:val="0"/>
          <w:numId w:val="2"/>
        </w:numPr>
      </w:pPr>
      <w:r>
        <w:rPr>
          <w:rFonts w:ascii="Arial" w:cs="Arial" w:eastAsia="Arial" w:hAnsi="Arial"/>
          <w:i/>
          <w:iCs/>
          <w:sz w:val="24"/>
          <w:szCs w:val="24"/>
        </w:rPr>
        <w:t xml:space="preserve">What outcome measures best assess subtype-specific efficacy?</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Subtype-stratified clinical trial protocols</w:t>
      </w:r>
    </w:p>
    <w:p>
      <w:pPr>
        <w:pStyle w:val="ListParagraph"/>
        <w:numPr>
          <w:ilvl w:val="0"/>
          <w:numId w:val="2"/>
        </w:numPr>
      </w:pPr>
      <w:r>
        <w:rPr>
          <w:rFonts w:ascii="Arial" w:cs="Arial" w:eastAsia="Arial" w:hAnsi="Arial"/>
          <w:sz w:val="24"/>
          <w:szCs w:val="24"/>
        </w:rPr>
        <w:t xml:space="preserve">Companion diagnostic development and validation plans</w:t>
      </w:r>
    </w:p>
    <w:p>
      <w:pPr>
        <w:pStyle w:val="ListParagraph"/>
        <w:numPr>
          <w:ilvl w:val="0"/>
          <w:numId w:val="2"/>
        </w:numPr>
      </w:pPr>
      <w:r>
        <w:rPr>
          <w:rFonts w:ascii="Arial" w:cs="Arial" w:eastAsia="Arial" w:hAnsi="Arial"/>
          <w:sz w:val="24"/>
          <w:szCs w:val="24"/>
        </w:rPr>
        <w:t xml:space="preserve">Patient identification and enrollment strategies</w:t>
      </w:r>
    </w:p>
    <w:p>
      <w:pPr>
        <w:pStyle w:val="ListParagraph"/>
        <w:numPr>
          <w:ilvl w:val="0"/>
          <w:numId w:val="2"/>
        </w:numPr>
      </w:pPr>
      <w:r>
        <w:rPr>
          <w:rFonts w:ascii="Arial" w:cs="Arial" w:eastAsia="Arial" w:hAnsi="Arial"/>
          <w:sz w:val="24"/>
          <w:szCs w:val="24"/>
        </w:rPr>
        <w:t xml:space="preserve">Outcome measurement and data analysis frameworks</w:t>
      </w:r>
    </w:p>
    <w:p>
      <w:pPr>
        <w:pStyle w:val="ListParagraph"/>
        <w:numPr>
          <w:ilvl w:val="0"/>
          <w:numId w:val="2"/>
        </w:numPr>
      </w:pPr>
      <w:r>
        <w:rPr>
          <w:rFonts w:ascii="Arial" w:cs="Arial" w:eastAsia="Arial" w:hAnsi="Arial"/>
          <w:sz w:val="24"/>
          <w:szCs w:val="24"/>
        </w:rPr>
        <w:t xml:space="preserve">Regulatory filing and companion diagnostic submissions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Complete clinical trial and precision medicine implementation guides</w:t>
      </w:r>
    </w:p>
    <w:p>
      <w:pPr>
        <w:pStyle w:val="Heading2"/>
      </w:pPr>
      <w:r>
        <w:rPr>
          <w:rFonts w:ascii="Arial" w:cs="Arial" w:eastAsia="Arial" w:hAnsi="Arial"/>
          <w:b/>
          <w:bCs/>
          <w:sz w:val="28"/>
          <w:szCs w:val="28"/>
        </w:rPr>
        <w:t xml:space="preserve">Comprehensive Tools &amp; Databases Summary</w:t>
      </w:r>
    </w:p>
    <w:p>
      <w:pPr>
        <w:pStyle w:val="ListParagraph"/>
        <w:numPr>
          <w:ilvl w:val="0"/>
          <w:numId w:val="2"/>
        </w:numPr>
      </w:pPr>
      <w:r>
        <w:rPr>
          <w:rFonts w:ascii="Arial" w:cs="Arial" w:eastAsia="Arial" w:hAnsi="Arial"/>
          <w:sz w:val="24"/>
          <w:szCs w:val="24"/>
        </w:rPr>
        <w:t xml:space="preserve">Angelini platform - functional cluster and knockout data</w:t>
      </w:r>
    </w:p>
    <w:p>
      <w:pPr>
        <w:pStyle w:val="ListParagraph"/>
        <w:numPr>
          <w:ilvl w:val="0"/>
          <w:numId w:val="2"/>
        </w:numPr>
      </w:pPr>
      <w:r>
        <w:rPr>
          <w:rFonts w:ascii="Arial" w:cs="Arial" w:eastAsia="Arial" w:hAnsi="Arial"/>
          <w:sz w:val="24"/>
          <w:szCs w:val="24"/>
        </w:rPr>
        <w:t xml:space="preserve">Gene expression analysis - RNA-seq processing and quantification</w:t>
      </w:r>
    </w:p>
    <w:p>
      <w:pPr>
        <w:pStyle w:val="ListParagraph"/>
        <w:numPr>
          <w:ilvl w:val="0"/>
          <w:numId w:val="2"/>
        </w:numPr>
      </w:pPr>
      <w:r>
        <w:rPr>
          <w:rFonts w:ascii="Arial" w:cs="Arial" w:eastAsia="Arial" w:hAnsi="Arial"/>
          <w:sz w:val="24"/>
          <w:szCs w:val="24"/>
        </w:rPr>
        <w:t xml:space="preserve">Pathway analysis tools - functional enrichment and interpretation</w:t>
      </w:r>
    </w:p>
    <w:p>
      <w:pPr>
        <w:pStyle w:val="ListParagraph"/>
        <w:numPr>
          <w:ilvl w:val="0"/>
          <w:numId w:val="2"/>
        </w:numPr>
      </w:pPr>
      <w:r>
        <w:rPr>
          <w:rFonts w:ascii="Arial" w:cs="Arial" w:eastAsia="Arial" w:hAnsi="Arial"/>
          <w:sz w:val="24"/>
          <w:szCs w:val="24"/>
        </w:rPr>
        <w:t xml:space="preserve">Dose-response and pharmacology analysis - EC50 and efficacy calculation</w:t>
      </w:r>
    </w:p>
    <w:p>
      <w:pPr>
        <w:pStyle w:val="ListParagraph"/>
        <w:numPr>
          <w:ilvl w:val="0"/>
          <w:numId w:val="2"/>
        </w:numPr>
      </w:pPr>
      <w:r>
        <w:rPr>
          <w:rFonts w:ascii="Arial" w:cs="Arial" w:eastAsia="Arial" w:hAnsi="Arial"/>
          <w:sz w:val="24"/>
          <w:szCs w:val="24"/>
        </w:rPr>
        <w:t xml:space="preserve">Statistical analysis platforms - ANOVA, linear modeling, classification</w:t>
      </w:r>
    </w:p>
    <w:p>
      <w:pPr>
        <w:pStyle w:val="ListParagraph"/>
        <w:numPr>
          <w:ilvl w:val="0"/>
          <w:numId w:val="2"/>
        </w:numPr>
      </w:pPr>
      <w:r>
        <w:rPr>
          <w:rFonts w:ascii="Arial" w:cs="Arial" w:eastAsia="Arial" w:hAnsi="Arial"/>
          <w:sz w:val="24"/>
          <w:szCs w:val="24"/>
        </w:rPr>
        <w:t xml:space="preserve">Machine learning tools - biomarker discovery and prediction modeling</w:t>
      </w:r>
    </w:p>
    <w:p>
      <w:pPr>
        <w:pStyle w:val="ListParagraph"/>
        <w:numPr>
          <w:ilvl w:val="0"/>
          <w:numId w:val="2"/>
        </w:numPr>
      </w:pPr>
      <w:r>
        <w:rPr>
          <w:rFonts w:ascii="Arial" w:cs="Arial" w:eastAsia="Arial" w:hAnsi="Arial"/>
          <w:sz w:val="24"/>
          <w:szCs w:val="24"/>
        </w:rPr>
        <w:t xml:space="preserve">Genomic variant analysis - association and GWAS tools</w:t>
      </w:r>
    </w:p>
    <w:p>
      <w:pPr>
        <w:pStyle w:val="ListParagraph"/>
        <w:numPr>
          <w:ilvl w:val="0"/>
          <w:numId w:val="2"/>
        </w:numPr>
      </w:pPr>
      <w:r>
        <w:rPr>
          <w:rFonts w:ascii="Arial" w:cs="Arial" w:eastAsia="Arial" w:hAnsi="Arial"/>
          <w:sz w:val="24"/>
          <w:szCs w:val="24"/>
        </w:rPr>
        <w:t xml:space="preserve">Epigenetic profiling - chromatin and methylation analysis</w:t>
      </w:r>
    </w:p>
    <w:p>
      <w:pPr>
        <w:pStyle w:val="ListParagraph"/>
        <w:numPr>
          <w:ilvl w:val="0"/>
          <w:numId w:val="2"/>
        </w:numPr>
      </w:pPr>
      <w:r>
        <w:rPr>
          <w:rFonts w:ascii="Arial" w:cs="Arial" w:eastAsia="Arial" w:hAnsi="Arial"/>
          <w:sz w:val="24"/>
          <w:szCs w:val="24"/>
        </w:rPr>
        <w:t xml:space="preserve">Clinical decision support systems - risk stratification and prediction</w:t>
      </w:r>
    </w:p>
    <w:p>
      <w:pPr>
        <w:pStyle w:val="ListParagraph"/>
        <w:numPr>
          <w:ilvl w:val="0"/>
          <w:numId w:val="2"/>
        </w:numPr>
      </w:pPr>
      <w:r>
        <w:rPr>
          <w:rFonts w:ascii="Arial" w:cs="Arial" w:eastAsia="Arial" w:hAnsi="Arial"/>
          <w:sz w:val="24"/>
          <w:szCs w:val="24"/>
        </w:rPr>
        <w:t xml:space="preserve">Biomarker validation platforms - clinical association and utility analysis</w:t>
      </w:r>
    </w:p>
    <w:p>
      <w:pPr>
        <w:pStyle w:val="ListParagraph"/>
        <w:numPr>
          <w:ilvl w:val="0"/>
          <w:numId w:val="2"/>
        </w:numPr>
      </w:pPr>
      <w:r>
        <w:rPr>
          <w:rFonts w:ascii="Arial" w:cs="Arial" w:eastAsia="Arial" w:hAnsi="Arial"/>
          <w:sz w:val="24"/>
          <w:szCs w:val="24"/>
        </w:rPr>
        <w:t xml:space="preserve">Clinical trial design and simulation tools - patient stratification modeling</w:t>
      </w:r>
    </w:p>
    <w:p>
      <w:pPr>
        <w:pStyle w:val="ListParagraph"/>
        <w:numPr>
          <w:ilvl w:val="0"/>
          <w:numId w:val="2"/>
        </w:numPr>
      </w:pPr>
      <w:r>
        <w:rPr>
          <w:rFonts w:ascii="Arial" w:cs="Arial" w:eastAsia="Arial" w:hAnsi="Arial"/>
          <w:sz w:val="24"/>
          <w:szCs w:val="24"/>
        </w:rPr>
        <w:t xml:space="preserve">Regulatory guidance databases - companion diagnostic and precision medicine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2026-03-25T18:45:01.087Z</dcterms:created>
  <dcterms:modified xsi:type="dcterms:W3CDTF">2026-03-25T18:45:01.087Z</dcterms:modified>
</cp:coreProperties>
</file>

<file path=docProps/custom.xml><?xml version="1.0" encoding="utf-8"?>
<Properties xmlns="http://schemas.openxmlformats.org/officeDocument/2006/custom-properties" xmlns:vt="http://schemas.openxmlformats.org/officeDocument/2006/docPropsVTypes"/>
</file>