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#074: Compound Safety Assessment via Toxicity Database Cross-Referencing and Toxicological Prioritization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Cross-reference the Angelini compound screening hits with published compound toxicity databases (ToxCast, Tox21, eTOXsys) to identify potential safety liabilities early and prioritize compounds with clean toxicity profiles for further development.</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Cross-reference Angelini hit compounds against comprehensive toxicity databases including ToxCast, Tox21, and eTOXsys to systematically identify potential safety liabilities early in development and prioritize compounds with clean toxicity profiles for advancement to preclinical testing.</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of disparate toxicity data sources with varying testing methodologies, toxicological endpoint definitions, and data reliability assessments; demands expert toxicology judgment in hazard characterization and risk assessment.</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Establish baseline access to toxicity databases and compile toxicological data for all Angelini hit compounds.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hit compound list with chemical identifiers (CAS numbers, SMILES, PubChem CIDs)</w:t>
      </w:r>
    </w:p>
    <w:p>
      <w:pPr>
        <w:pStyle w:val="ListParagraph"/>
        <w:numPr>
          <w:ilvl w:val="0"/>
          <w:numId w:val="2"/>
        </w:numPr>
      </w:pPr>
      <w:r>
        <w:rPr>
          <w:rFonts w:ascii="Arial" w:cs="Arial" w:eastAsia="Arial" w:hAnsi="Arial"/>
          <w:sz w:val="24"/>
          <w:szCs w:val="24"/>
        </w:rPr>
        <w:t xml:space="preserve">ToxCast database with chemical screening results across multiple assays</w:t>
      </w:r>
    </w:p>
    <w:p>
      <w:pPr>
        <w:pStyle w:val="ListParagraph"/>
        <w:numPr>
          <w:ilvl w:val="0"/>
          <w:numId w:val="2"/>
        </w:numPr>
      </w:pPr>
      <w:r>
        <w:rPr>
          <w:rFonts w:ascii="Arial" w:cs="Arial" w:eastAsia="Arial" w:hAnsi="Arial"/>
          <w:sz w:val="24"/>
          <w:szCs w:val="24"/>
        </w:rPr>
        <w:t xml:space="preserve">Tox21 assay results for compound-nuclear receptor and stress response interactions</w:t>
      </w:r>
    </w:p>
    <w:p>
      <w:pPr>
        <w:pStyle w:val="ListParagraph"/>
        <w:numPr>
          <w:ilvl w:val="0"/>
          <w:numId w:val="2"/>
        </w:numPr>
      </w:pPr>
      <w:r>
        <w:rPr>
          <w:rFonts w:ascii="Arial" w:cs="Arial" w:eastAsia="Arial" w:hAnsi="Arial"/>
          <w:sz w:val="24"/>
          <w:szCs w:val="24"/>
        </w:rPr>
        <w:t xml:space="preserve">eTOXsys database with rat toxicity study data and endpoints</w:t>
      </w:r>
    </w:p>
    <w:p>
      <w:pPr>
        <w:pStyle w:val="ListParagraph"/>
        <w:numPr>
          <w:ilvl w:val="0"/>
          <w:numId w:val="2"/>
        </w:numPr>
      </w:pPr>
      <w:r>
        <w:rPr>
          <w:rFonts w:ascii="Arial" w:cs="Arial" w:eastAsia="Arial" w:hAnsi="Arial"/>
          <w:sz w:val="24"/>
          <w:szCs w:val="24"/>
        </w:rPr>
        <w:t xml:space="preserve">ECHA registration dossiers (REACH) for European registered chemicals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ToxCast/Tox21 data download portal and APIs</w:t>
      </w:r>
    </w:p>
    <w:p>
      <w:pPr>
        <w:pStyle w:val="ListParagraph"/>
        <w:numPr>
          <w:ilvl w:val="0"/>
          <w:numId w:val="2"/>
        </w:numPr>
      </w:pPr>
      <w:r>
        <w:rPr>
          <w:rFonts w:ascii="Arial" w:cs="Arial" w:eastAsia="Arial" w:hAnsi="Arial"/>
          <w:sz w:val="24"/>
          <w:szCs w:val="24"/>
        </w:rPr>
        <w:t xml:space="preserve">ECHA REACH dossier database</w:t>
      </w:r>
    </w:p>
    <w:p>
      <w:pPr>
        <w:pStyle w:val="ListParagraph"/>
        <w:numPr>
          <w:ilvl w:val="0"/>
          <w:numId w:val="2"/>
        </w:numPr>
      </w:pPr>
      <w:r>
        <w:rPr>
          <w:rFonts w:ascii="Arial" w:cs="Arial" w:eastAsia="Arial" w:hAnsi="Arial"/>
          <w:sz w:val="24"/>
          <w:szCs w:val="24"/>
        </w:rPr>
        <w:t xml:space="preserve">PubChem toxicity data downloads</w:t>
      </w:r>
    </w:p>
    <w:p>
      <w:pPr>
        <w:pStyle w:val="ListParagraph"/>
        <w:numPr>
          <w:ilvl w:val="0"/>
          <w:numId w:val="2"/>
        </w:numPr>
      </w:pPr>
      <w:r>
        <w:rPr>
          <w:rFonts w:ascii="Arial" w:cs="Arial" w:eastAsia="Arial" w:hAnsi="Arial"/>
          <w:sz w:val="24"/>
          <w:szCs w:val="24"/>
        </w:rPr>
        <w:t xml:space="preserve">ChemIDplus for chemical identifier cross-referencing</w:t>
      </w:r>
    </w:p>
    <w:p>
      <w:pPr>
        <w:pStyle w:val="ListParagraph"/>
        <w:numPr>
          <w:ilvl w:val="0"/>
          <w:numId w:val="2"/>
        </w:numPr>
      </w:pPr>
      <w:r>
        <w:rPr>
          <w:rFonts w:ascii="Arial" w:cs="Arial" w:eastAsia="Arial" w:hAnsi="Arial"/>
          <w:sz w:val="24"/>
          <w:szCs w:val="24"/>
        </w:rPr>
        <w:t xml:space="preserve">R/Python scripts for batch database queries and data aggregation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all available ToxCast assay results for each hit compound, including activity flags and potency values?</w:t>
      </w:r>
    </w:p>
    <w:p>
      <w:pPr>
        <w:pStyle w:val="ListParagraph"/>
        <w:numPr>
          <w:ilvl w:val="0"/>
          <w:numId w:val="2"/>
        </w:numPr>
      </w:pPr>
      <w:r>
        <w:rPr>
          <w:rFonts w:ascii="Arial" w:cs="Arial" w:eastAsia="Arial" w:hAnsi="Arial"/>
          <w:i/>
          <w:iCs/>
          <w:sz w:val="24"/>
          <w:szCs w:val="24"/>
        </w:rPr>
        <w:t xml:space="preserve">Which hit compounds have Tox21 nuclear receptor binding or stress response assay results?</w:t>
      </w:r>
    </w:p>
    <w:p>
      <w:pPr>
        <w:pStyle w:val="ListParagraph"/>
        <w:numPr>
          <w:ilvl w:val="0"/>
          <w:numId w:val="2"/>
        </w:numPr>
      </w:pPr>
      <w:r>
        <w:rPr>
          <w:rFonts w:ascii="Arial" w:cs="Arial" w:eastAsia="Arial" w:hAnsi="Arial"/>
          <w:i/>
          <w:iCs/>
          <w:sz w:val="24"/>
          <w:szCs w:val="24"/>
        </w:rPr>
        <w:t xml:space="preserve">For each compound, retrieve any published rat toxicity study data or eTOXsys records with endpoint information.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Compiled toxicity data table for all hit compounds across ToxCast, Tox21, and eTOXsys databases</w:t>
      </w:r>
    </w:p>
    <w:p>
      <w:pPr>
        <w:pStyle w:val="ListParagraph"/>
        <w:numPr>
          <w:ilvl w:val="0"/>
          <w:numId w:val="2"/>
        </w:numPr>
      </w:pPr>
      <w:r>
        <w:rPr>
          <w:rFonts w:ascii="Arial" w:cs="Arial" w:eastAsia="Arial" w:hAnsi="Arial"/>
          <w:sz w:val="24"/>
          <w:szCs w:val="24"/>
        </w:rPr>
        <w:t xml:space="preserve">Chemical identifier concordance table (CAS, SMILES, PubChem CID, ChEMBL ID) for unambiguous compound matching</w:t>
      </w:r>
    </w:p>
    <w:p>
      <w:pPr>
        <w:pStyle w:val="ListParagraph"/>
        <w:numPr>
          <w:ilvl w:val="0"/>
          <w:numId w:val="2"/>
        </w:numPr>
      </w:pPr>
      <w:r>
        <w:rPr>
          <w:rFonts w:ascii="Arial" w:cs="Arial" w:eastAsia="Arial" w:hAnsi="Arial"/>
          <w:sz w:val="24"/>
          <w:szCs w:val="24"/>
        </w:rPr>
        <w:t xml:space="preserve">Data quality and completeness assessment for each compound and database</w:t>
      </w:r>
    </w:p>
    <w:p>
      <w:pPr>
        <w:pStyle w:val="ListParagraph"/>
        <w:numPr>
          <w:ilvl w:val="0"/>
          <w:numId w:val="2"/>
        </w:numPr>
      </w:pPr>
      <w:r>
        <w:rPr>
          <w:rFonts w:ascii="Arial" w:cs="Arial" w:eastAsia="Arial" w:hAnsi="Arial"/>
          <w:sz w:val="24"/>
          <w:szCs w:val="24"/>
        </w:rPr>
        <w:t xml:space="preserve">Summary statistics on toxicological assay coverage per compound and endpoint category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toxicity database results spreadsheet organized by compound identifier with assay results and data quality flags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and standardize toxicological endpoint information across databases and categorize by toxicity concern area.</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toxicity database results from Stage 1</w:t>
      </w:r>
    </w:p>
    <w:p>
      <w:pPr>
        <w:pStyle w:val="ListParagraph"/>
        <w:numPr>
          <w:ilvl w:val="0"/>
          <w:numId w:val="2"/>
        </w:numPr>
      </w:pPr>
      <w:r>
        <w:rPr>
          <w:rFonts w:ascii="Arial" w:cs="Arial" w:eastAsia="Arial" w:hAnsi="Arial"/>
          <w:sz w:val="24"/>
          <w:szCs w:val="24"/>
        </w:rPr>
        <w:t xml:space="preserve">Toxicological endpoint taxonomies and standardized definitions (OECD, EPA)</w:t>
      </w:r>
    </w:p>
    <w:p>
      <w:pPr>
        <w:pStyle w:val="ListParagraph"/>
        <w:numPr>
          <w:ilvl w:val="0"/>
          <w:numId w:val="2"/>
        </w:numPr>
      </w:pPr>
      <w:r>
        <w:rPr>
          <w:rFonts w:ascii="Arial" w:cs="Arial" w:eastAsia="Arial" w:hAnsi="Arial"/>
          <w:sz w:val="24"/>
          <w:szCs w:val="24"/>
        </w:rPr>
        <w:t xml:space="preserve">Hazard characterization frameworks for reproductive/developmental, carcinogenic, and organ-specific toxicities</w:t>
      </w:r>
    </w:p>
    <w:p>
      <w:pPr>
        <w:pStyle w:val="ListParagraph"/>
        <w:numPr>
          <w:ilvl w:val="0"/>
          <w:numId w:val="2"/>
        </w:numPr>
      </w:pPr>
      <w:r>
        <w:rPr>
          <w:rFonts w:ascii="Arial" w:cs="Arial" w:eastAsia="Arial" w:hAnsi="Arial"/>
          <w:sz w:val="24"/>
          <w:szCs w:val="24"/>
        </w:rPr>
        <w:t xml:space="preserve">Compound structure-activity relationship (SAR) alerts for toxicity liabilities</w:t>
      </w:r>
    </w:p>
    <w:p>
      <w:pPr>
        <w:pStyle w:val="ListParagraph"/>
        <w:numPr>
          <w:ilvl w:val="0"/>
          <w:numId w:val="2"/>
        </w:numPr>
      </w:pPr>
      <w:r>
        <w:rPr>
          <w:rFonts w:ascii="Arial" w:cs="Arial" w:eastAsia="Arial" w:hAnsi="Arial"/>
          <w:sz w:val="24"/>
          <w:szCs w:val="24"/>
        </w:rPr>
        <w:t xml:space="preserve">Physiologically-based pharmacokinetic (PBPK) models for route-specific exposure assessment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ToxFXN - toxicity function prediction based on pathway analysis</w:t>
      </w:r>
    </w:p>
    <w:p>
      <w:pPr>
        <w:pStyle w:val="ListParagraph"/>
        <w:numPr>
          <w:ilvl w:val="0"/>
          <w:numId w:val="2"/>
        </w:numPr>
      </w:pPr>
      <w:r>
        <w:rPr>
          <w:rFonts w:ascii="Arial" w:cs="Arial" w:eastAsia="Arial" w:hAnsi="Arial"/>
          <w:sz w:val="24"/>
          <w:szCs w:val="24"/>
        </w:rPr>
        <w:t xml:space="preserve">OECD QSAR Toolbox for structural alert identification</w:t>
      </w:r>
    </w:p>
    <w:p>
      <w:pPr>
        <w:pStyle w:val="ListParagraph"/>
        <w:numPr>
          <w:ilvl w:val="0"/>
          <w:numId w:val="2"/>
        </w:numPr>
      </w:pPr>
      <w:r>
        <w:rPr>
          <w:rFonts w:ascii="Arial" w:cs="Arial" w:eastAsia="Arial" w:hAnsi="Arial"/>
          <w:sz w:val="24"/>
          <w:szCs w:val="24"/>
        </w:rPr>
        <w:t xml:space="preserve">Derek Nexus - rule-based structural toxicity prediction</w:t>
      </w:r>
    </w:p>
    <w:p>
      <w:pPr>
        <w:pStyle w:val="ListParagraph"/>
        <w:numPr>
          <w:ilvl w:val="0"/>
          <w:numId w:val="2"/>
        </w:numPr>
      </w:pPr>
      <w:r>
        <w:rPr>
          <w:rFonts w:ascii="Arial" w:cs="Arial" w:eastAsia="Arial" w:hAnsi="Arial"/>
          <w:sz w:val="24"/>
          <w:szCs w:val="24"/>
        </w:rPr>
        <w:t xml:space="preserve">SuperPredictors for toxicity endpoint prediction</w:t>
      </w:r>
    </w:p>
    <w:p>
      <w:pPr>
        <w:pStyle w:val="ListParagraph"/>
        <w:numPr>
          <w:ilvl w:val="0"/>
          <w:numId w:val="2"/>
        </w:numPr>
      </w:pPr>
      <w:r>
        <w:rPr>
          <w:rFonts w:ascii="Arial" w:cs="Arial" w:eastAsia="Arial" w:hAnsi="Arial"/>
          <w:sz w:val="24"/>
          <w:szCs w:val="24"/>
        </w:rPr>
        <w:t xml:space="preserve">R toxicology packages (toxicogenomics, pathways) for endpoint standardization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hit compound, what are the specific ToxCast assays showing activity, and what is the biological relevance of activated pathways?</w:t>
      </w:r>
    </w:p>
    <w:p>
      <w:pPr>
        <w:pStyle w:val="ListParagraph"/>
        <w:numPr>
          <w:ilvl w:val="0"/>
          <w:numId w:val="2"/>
        </w:numPr>
      </w:pPr>
      <w:r>
        <w:rPr>
          <w:rFonts w:ascii="Arial" w:cs="Arial" w:eastAsia="Arial" w:hAnsi="Arial"/>
          <w:i/>
          <w:iCs/>
          <w:sz w:val="24"/>
          <w:szCs w:val="24"/>
        </w:rPr>
        <w:t xml:space="preserve">Which compounds trigger structural alert flags in OECD QSAR or Derek Nexus for genotoxicity, hepatotoxicity, or reproductive toxicity?</w:t>
      </w:r>
    </w:p>
    <w:p>
      <w:pPr>
        <w:pStyle w:val="ListParagraph"/>
        <w:numPr>
          <w:ilvl w:val="0"/>
          <w:numId w:val="2"/>
        </w:numPr>
      </w:pPr>
      <w:r>
        <w:rPr>
          <w:rFonts w:ascii="Arial" w:cs="Arial" w:eastAsia="Arial" w:hAnsi="Arial"/>
          <w:i/>
          <w:iCs/>
          <w:sz w:val="24"/>
          <w:szCs w:val="24"/>
        </w:rPr>
        <w:t xml:space="preserve">What are the IC50 or AC50 values for compounds active in Tox21 nuclear receptor or stress response assays, and are these values above or below expected in vivo exposure levels?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toxicological endpoint table with assay identifiers, activity flags, and potency values (AC50, IC50) for each compound</w:t>
      </w:r>
    </w:p>
    <w:p>
      <w:pPr>
        <w:pStyle w:val="ListParagraph"/>
        <w:numPr>
          <w:ilvl w:val="0"/>
          <w:numId w:val="2"/>
        </w:numPr>
      </w:pPr>
      <w:r>
        <w:rPr>
          <w:rFonts w:ascii="Arial" w:cs="Arial" w:eastAsia="Arial" w:hAnsi="Arial"/>
          <w:sz w:val="24"/>
          <w:szCs w:val="24"/>
        </w:rPr>
        <w:t xml:space="preserve">Toxicity hazard characterization by category (genotoxicity, organ toxicity, reproductive effects, metabolic pathways disrupted)</w:t>
      </w:r>
    </w:p>
    <w:p>
      <w:pPr>
        <w:pStyle w:val="ListParagraph"/>
        <w:numPr>
          <w:ilvl w:val="0"/>
          <w:numId w:val="2"/>
        </w:numPr>
      </w:pPr>
      <w:r>
        <w:rPr>
          <w:rFonts w:ascii="Arial" w:cs="Arial" w:eastAsia="Arial" w:hAnsi="Arial"/>
          <w:sz w:val="24"/>
          <w:szCs w:val="24"/>
        </w:rPr>
        <w:t xml:space="preserve">Structural alert assessment identifying SAR flags present in hit compounds</w:t>
      </w:r>
    </w:p>
    <w:p>
      <w:pPr>
        <w:pStyle w:val="ListParagraph"/>
        <w:numPr>
          <w:ilvl w:val="0"/>
          <w:numId w:val="2"/>
        </w:numPr>
      </w:pPr>
      <w:r>
        <w:rPr>
          <w:rFonts w:ascii="Arial" w:cs="Arial" w:eastAsia="Arial" w:hAnsi="Arial"/>
          <w:sz w:val="24"/>
          <w:szCs w:val="24"/>
        </w:rPr>
        <w:t xml:space="preserve">Ranked list of compounds by number and severity of toxicological concerns identified</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Multi-sheet workbook with standardized endpoints, hazard characterization, structural alert analysis, and composite hazard ranking</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in-depth analysis of compounds with identified safety liabilities and assess clinical relevance of specific toxicity concerns.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Prioritized compound list with identified toxicity concerns from Stage 2</w:t>
      </w:r>
    </w:p>
    <w:p>
      <w:pPr>
        <w:pStyle w:val="ListParagraph"/>
        <w:numPr>
          <w:ilvl w:val="0"/>
          <w:numId w:val="2"/>
        </w:numPr>
      </w:pPr>
      <w:r>
        <w:rPr>
          <w:rFonts w:ascii="Arial" w:cs="Arial" w:eastAsia="Arial" w:hAnsi="Arial"/>
          <w:sz w:val="24"/>
          <w:szCs w:val="24"/>
        </w:rPr>
        <w:t xml:space="preserve">Published clinical data and adverse event reports for compounds with known safety issues</w:t>
      </w:r>
    </w:p>
    <w:p>
      <w:pPr>
        <w:pStyle w:val="ListParagraph"/>
        <w:numPr>
          <w:ilvl w:val="0"/>
          <w:numId w:val="2"/>
        </w:numPr>
      </w:pPr>
      <w:r>
        <w:rPr>
          <w:rFonts w:ascii="Arial" w:cs="Arial" w:eastAsia="Arial" w:hAnsi="Arial"/>
          <w:sz w:val="24"/>
          <w:szCs w:val="24"/>
        </w:rPr>
        <w:t xml:space="preserve">In vivo PK/PD data and achieved plasma concentrations for compounds in development</w:t>
      </w:r>
    </w:p>
    <w:p>
      <w:pPr>
        <w:pStyle w:val="ListParagraph"/>
        <w:numPr>
          <w:ilvl w:val="0"/>
          <w:numId w:val="2"/>
        </w:numPr>
      </w:pPr>
      <w:r>
        <w:rPr>
          <w:rFonts w:ascii="Arial" w:cs="Arial" w:eastAsia="Arial" w:hAnsi="Arial"/>
          <w:sz w:val="24"/>
          <w:szCs w:val="24"/>
        </w:rPr>
        <w:t xml:space="preserve">Pediatric and developmental vulnerability assessments (DEE patients are often children)</w:t>
      </w:r>
    </w:p>
    <w:p>
      <w:pPr>
        <w:pStyle w:val="ListParagraph"/>
        <w:numPr>
          <w:ilvl w:val="0"/>
          <w:numId w:val="2"/>
        </w:numPr>
      </w:pPr>
      <w:r>
        <w:rPr>
          <w:rFonts w:ascii="Arial" w:cs="Arial" w:eastAsia="Arial" w:hAnsi="Arial"/>
          <w:sz w:val="24"/>
          <w:szCs w:val="24"/>
        </w:rPr>
        <w:t xml:space="preserve">Mechanism of action and predicted off-target effects for each compound</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VigiBase - WHO adverse event database with clinical adverse event frequency information</w:t>
      </w:r>
    </w:p>
    <w:p>
      <w:pPr>
        <w:pStyle w:val="ListParagraph"/>
        <w:numPr>
          <w:ilvl w:val="0"/>
          <w:numId w:val="2"/>
        </w:numPr>
      </w:pPr>
      <w:r>
        <w:rPr>
          <w:rFonts w:ascii="Arial" w:cs="Arial" w:eastAsia="Arial" w:hAnsi="Arial"/>
          <w:sz w:val="24"/>
          <w:szCs w:val="24"/>
        </w:rPr>
        <w:t xml:space="preserve">FDA Adverse Event Reporting System (FAERS) for post-market safety surveillance data</w:t>
      </w:r>
    </w:p>
    <w:p>
      <w:pPr>
        <w:pStyle w:val="ListParagraph"/>
        <w:numPr>
          <w:ilvl w:val="0"/>
          <w:numId w:val="2"/>
        </w:numPr>
      </w:pPr>
      <w:r>
        <w:rPr>
          <w:rFonts w:ascii="Arial" w:cs="Arial" w:eastAsia="Arial" w:hAnsi="Arial"/>
          <w:sz w:val="24"/>
          <w:szCs w:val="24"/>
        </w:rPr>
        <w:t xml:space="preserve">EudraVigilance - European adverse event database</w:t>
      </w:r>
    </w:p>
    <w:p>
      <w:pPr>
        <w:pStyle w:val="ListParagraph"/>
        <w:numPr>
          <w:ilvl w:val="0"/>
          <w:numId w:val="2"/>
        </w:numPr>
      </w:pPr>
      <w:r>
        <w:rPr>
          <w:rFonts w:ascii="Arial" w:cs="Arial" w:eastAsia="Arial" w:hAnsi="Arial"/>
          <w:sz w:val="24"/>
          <w:szCs w:val="24"/>
        </w:rPr>
        <w:t xml:space="preserve">DrugBank for aggregated safety information and contraindication data</w:t>
      </w:r>
    </w:p>
    <w:p>
      <w:pPr>
        <w:pStyle w:val="ListParagraph"/>
        <w:numPr>
          <w:ilvl w:val="0"/>
          <w:numId w:val="2"/>
        </w:numPr>
      </w:pPr>
      <w:r>
        <w:rPr>
          <w:rFonts w:ascii="Arial" w:cs="Arial" w:eastAsia="Arial" w:hAnsi="Arial"/>
          <w:sz w:val="24"/>
          <w:szCs w:val="24"/>
        </w:rPr>
        <w:t xml:space="preserve">Published clinical trial adverse event reports and meta-analyses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compounds with identified ToxCast/Tox21 liabilities, what is the clinical evidence from published trials or post-market surveillance regarding the corresponding adverse effects?</w:t>
      </w:r>
    </w:p>
    <w:p>
      <w:pPr>
        <w:pStyle w:val="ListParagraph"/>
        <w:numPr>
          <w:ilvl w:val="0"/>
          <w:numId w:val="2"/>
        </w:numPr>
      </w:pPr>
      <w:r>
        <w:rPr>
          <w:rFonts w:ascii="Arial" w:cs="Arial" w:eastAsia="Arial" w:hAnsi="Arial"/>
          <w:i/>
          <w:iCs/>
          <w:sz w:val="24"/>
          <w:szCs w:val="24"/>
        </w:rPr>
        <w:t xml:space="preserve">What is the relationship between in vitro IC50/AC50 values for toxicological endpoints and clinically observed adverse event frequencies?</w:t>
      </w:r>
    </w:p>
    <w:p>
      <w:pPr>
        <w:pStyle w:val="ListParagraph"/>
        <w:numPr>
          <w:ilvl w:val="0"/>
          <w:numId w:val="2"/>
        </w:numPr>
      </w:pPr>
      <w:r>
        <w:rPr>
          <w:rFonts w:ascii="Arial" w:cs="Arial" w:eastAsia="Arial" w:hAnsi="Arial"/>
          <w:i/>
          <w:iCs/>
          <w:sz w:val="24"/>
          <w:szCs w:val="24"/>
        </w:rPr>
        <w:t xml:space="preserve">Are there pediatric-specific safety concerns or developmental toxicity risks that are particularly relevant to DEE patient populations?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Clinical safety assessment for compounds with identified toxicological concerns, including adverse event frequency and severity</w:t>
      </w:r>
    </w:p>
    <w:p>
      <w:pPr>
        <w:pStyle w:val="ListParagraph"/>
        <w:numPr>
          <w:ilvl w:val="0"/>
          <w:numId w:val="2"/>
        </w:numPr>
      </w:pPr>
      <w:r>
        <w:rPr>
          <w:rFonts w:ascii="Arial" w:cs="Arial" w:eastAsia="Arial" w:hAnsi="Arial"/>
          <w:sz w:val="24"/>
          <w:szCs w:val="24"/>
        </w:rPr>
        <w:t xml:space="preserve">Dose-response analysis relating in vitro toxicity potency values to in vivo toxicological findings</w:t>
      </w:r>
    </w:p>
    <w:p>
      <w:pPr>
        <w:pStyle w:val="ListParagraph"/>
        <w:numPr>
          <w:ilvl w:val="0"/>
          <w:numId w:val="2"/>
        </w:numPr>
      </w:pPr>
      <w:r>
        <w:rPr>
          <w:rFonts w:ascii="Arial" w:cs="Arial" w:eastAsia="Arial" w:hAnsi="Arial"/>
          <w:sz w:val="24"/>
          <w:szCs w:val="24"/>
        </w:rPr>
        <w:t xml:space="preserve">Pediatric safety risk assessment and potential contraindications for developmental age groups</w:t>
      </w:r>
    </w:p>
    <w:p>
      <w:pPr>
        <w:pStyle w:val="ListParagraph"/>
        <w:numPr>
          <w:ilvl w:val="0"/>
          <w:numId w:val="2"/>
        </w:numPr>
      </w:pPr>
      <w:r>
        <w:rPr>
          <w:rFonts w:ascii="Arial" w:cs="Arial" w:eastAsia="Arial" w:hAnsi="Arial"/>
          <w:sz w:val="24"/>
          <w:szCs w:val="24"/>
        </w:rPr>
        <w:t xml:space="preserve">Overall risk characterization with recommendations for acceptable risk thresholds for DEE indication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Detailed safety assessment report with clinical data compilations, dose-response analyses, pediatric risk summaries, and risk characterizations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safety findings across databases and apply toxicological weight-of-evidence assessments to classify compound safety profiles.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Toxicity data from ToxCast, Tox21, eTOXsys, and clinical databases from prior stages</w:t>
      </w:r>
    </w:p>
    <w:p>
      <w:pPr>
        <w:pStyle w:val="ListParagraph"/>
        <w:numPr>
          <w:ilvl w:val="0"/>
          <w:numId w:val="2"/>
        </w:numPr>
      </w:pPr>
      <w:r>
        <w:rPr>
          <w:rFonts w:ascii="Arial" w:cs="Arial" w:eastAsia="Arial" w:hAnsi="Arial"/>
          <w:sz w:val="24"/>
          <w:szCs w:val="24"/>
        </w:rPr>
        <w:t xml:space="preserve">Consensus weight-of-evidence frameworks (OECD, EPA, ICH, ILSI)</w:t>
      </w:r>
    </w:p>
    <w:p>
      <w:pPr>
        <w:pStyle w:val="ListParagraph"/>
        <w:numPr>
          <w:ilvl w:val="0"/>
          <w:numId w:val="2"/>
        </w:numPr>
      </w:pPr>
      <w:r>
        <w:rPr>
          <w:rFonts w:ascii="Arial" w:cs="Arial" w:eastAsia="Arial" w:hAnsi="Arial"/>
          <w:sz w:val="24"/>
          <w:szCs w:val="24"/>
        </w:rPr>
        <w:t xml:space="preserve">Machine learning models trained on historical toxicity data for prediction confidence assessment</w:t>
      </w:r>
    </w:p>
    <w:p>
      <w:pPr>
        <w:pStyle w:val="ListParagraph"/>
        <w:numPr>
          <w:ilvl w:val="0"/>
          <w:numId w:val="2"/>
        </w:numPr>
      </w:pPr>
      <w:r>
        <w:rPr>
          <w:rFonts w:ascii="Arial" w:cs="Arial" w:eastAsia="Arial" w:hAnsi="Arial"/>
          <w:sz w:val="24"/>
          <w:szCs w:val="24"/>
        </w:rPr>
        <w:t xml:space="preserve">Target validation showing intended mechanism aligns with in vitro toxicity findings</w:t>
      </w:r>
    </w:p>
    <w:p>
      <w:pPr>
        <w:pStyle w:val="ListParagraph"/>
        <w:numPr>
          <w:ilvl w:val="0"/>
          <w:numId w:val="2"/>
        </w:numPr>
      </w:pPr>
      <w:r>
        <w:rPr>
          <w:rFonts w:ascii="Arial" w:cs="Arial" w:eastAsia="Arial" w:hAnsi="Arial"/>
          <w:sz w:val="24"/>
          <w:szCs w:val="24"/>
        </w:rPr>
        <w:t xml:space="preserve">Expert toxicology review and hazard classification standards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Integrated Risk Information System (IRIS) for weight-of-evidence assessment frameworks</w:t>
      </w:r>
    </w:p>
    <w:p>
      <w:pPr>
        <w:pStyle w:val="ListParagraph"/>
        <w:numPr>
          <w:ilvl w:val="0"/>
          <w:numId w:val="2"/>
        </w:numPr>
      </w:pPr>
      <w:r>
        <w:rPr>
          <w:rFonts w:ascii="Arial" w:cs="Arial" w:eastAsia="Arial" w:hAnsi="Arial"/>
          <w:sz w:val="24"/>
          <w:szCs w:val="24"/>
        </w:rPr>
        <w:t xml:space="preserve">ICH safety guidance documents for classification standards</w:t>
      </w:r>
    </w:p>
    <w:p>
      <w:pPr>
        <w:pStyle w:val="ListParagraph"/>
        <w:numPr>
          <w:ilvl w:val="0"/>
          <w:numId w:val="2"/>
        </w:numPr>
      </w:pPr>
      <w:r>
        <w:rPr>
          <w:rFonts w:ascii="Arial" w:cs="Arial" w:eastAsia="Arial" w:hAnsi="Arial"/>
          <w:sz w:val="24"/>
          <w:szCs w:val="24"/>
        </w:rPr>
        <w:t xml:space="preserve">Sciome tools for qualitative weight-of-evidence analysis</w:t>
      </w:r>
    </w:p>
    <w:p>
      <w:pPr>
        <w:pStyle w:val="ListParagraph"/>
        <w:numPr>
          <w:ilvl w:val="0"/>
          <w:numId w:val="2"/>
        </w:numPr>
      </w:pPr>
      <w:r>
        <w:rPr>
          <w:rFonts w:ascii="Arial" w:cs="Arial" w:eastAsia="Arial" w:hAnsi="Arial"/>
          <w:sz w:val="24"/>
          <w:szCs w:val="24"/>
        </w:rPr>
        <w:t xml:space="preserve">Machine learning toxicity prediction models (ToxEvaluator, ReadAcross tools)</w:t>
      </w:r>
    </w:p>
    <w:p>
      <w:pPr>
        <w:pStyle w:val="ListParagraph"/>
        <w:numPr>
          <w:ilvl w:val="0"/>
          <w:numId w:val="2"/>
        </w:numPr>
      </w:pPr>
      <w:r>
        <w:rPr>
          <w:rFonts w:ascii="Arial" w:cs="Arial" w:eastAsia="Arial" w:hAnsi="Arial"/>
          <w:sz w:val="24"/>
          <w:szCs w:val="24"/>
        </w:rPr>
        <w:t xml:space="preserve">R packages for meta-analysis and evidence synthesis (metafor, bayesmeta)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identified toxicity concern, what is the overall weight of evidence considering ToxCast in vitro findings, animal study data, and clinical experience?</w:t>
      </w:r>
    </w:p>
    <w:p>
      <w:pPr>
        <w:pStyle w:val="ListParagraph"/>
        <w:numPr>
          <w:ilvl w:val="0"/>
          <w:numId w:val="2"/>
        </w:numPr>
      </w:pPr>
      <w:r>
        <w:rPr>
          <w:rFonts w:ascii="Arial" w:cs="Arial" w:eastAsia="Arial" w:hAnsi="Arial"/>
          <w:i/>
          <w:iCs/>
          <w:sz w:val="24"/>
          <w:szCs w:val="24"/>
        </w:rPr>
        <w:t xml:space="preserve">Which compounds have consistent and well-characterized safety profiles across multiple data sources vs. those with conflicting or limited data?</w:t>
      </w:r>
    </w:p>
    <w:p>
      <w:pPr>
        <w:pStyle w:val="ListParagraph"/>
        <w:numPr>
          <w:ilvl w:val="0"/>
          <w:numId w:val="2"/>
        </w:numPr>
      </w:pPr>
      <w:r>
        <w:rPr>
          <w:rFonts w:ascii="Arial" w:cs="Arial" w:eastAsia="Arial" w:hAnsi="Arial"/>
          <w:i/>
          <w:iCs/>
          <w:sz w:val="24"/>
          <w:szCs w:val="24"/>
        </w:rPr>
        <w:t xml:space="preserve">What is the confidence level in toxicity predictions for compounds lacking clinical data but showing in vitro liabilities?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Weight-of-evidence assessment for each identified toxicity concern with confidence ratings</w:t>
      </w:r>
    </w:p>
    <w:p>
      <w:pPr>
        <w:pStyle w:val="ListParagraph"/>
        <w:numPr>
          <w:ilvl w:val="0"/>
          <w:numId w:val="2"/>
        </w:numPr>
      </w:pPr>
      <w:r>
        <w:rPr>
          <w:rFonts w:ascii="Arial" w:cs="Arial" w:eastAsia="Arial" w:hAnsi="Arial"/>
          <w:sz w:val="24"/>
          <w:szCs w:val="24"/>
        </w:rPr>
        <w:t xml:space="preserve">Compound safety profile classification (clean profile, manageable concerns, serious concerns) based on integrated assessment</w:t>
      </w:r>
    </w:p>
    <w:p>
      <w:pPr>
        <w:pStyle w:val="ListParagraph"/>
        <w:numPr>
          <w:ilvl w:val="0"/>
          <w:numId w:val="2"/>
        </w:numPr>
      </w:pPr>
      <w:r>
        <w:rPr>
          <w:rFonts w:ascii="Arial" w:cs="Arial" w:eastAsia="Arial" w:hAnsi="Arial"/>
          <w:sz w:val="24"/>
          <w:szCs w:val="24"/>
        </w:rPr>
        <w:t xml:space="preserve">Confidence and uncertainty estimates for compounds with limited vs. comprehensive toxicity data</w:t>
      </w:r>
    </w:p>
    <w:p>
      <w:pPr>
        <w:pStyle w:val="ListParagraph"/>
        <w:numPr>
          <w:ilvl w:val="0"/>
          <w:numId w:val="2"/>
        </w:numPr>
      </w:pPr>
      <w:r>
        <w:rPr>
          <w:rFonts w:ascii="Arial" w:cs="Arial" w:eastAsia="Arial" w:hAnsi="Arial"/>
          <w:sz w:val="24"/>
          <w:szCs w:val="24"/>
        </w:rPr>
        <w:t xml:space="preserve">Data gaps and recommended additional testing for compounds with uncertain safety profiles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Evidence synthesis report with weight-of-evidence tables, confidence assessments, compound safety classifications, and identified data gaps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comprehensive safety profiles and generate prioritized compound lists for development advancement.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Integrated safety assessment from Stages 1-4</w:t>
      </w:r>
    </w:p>
    <w:p>
      <w:pPr>
        <w:pStyle w:val="ListParagraph"/>
        <w:numPr>
          <w:ilvl w:val="0"/>
          <w:numId w:val="2"/>
        </w:numPr>
      </w:pPr>
      <w:r>
        <w:rPr>
          <w:rFonts w:ascii="Arial" w:cs="Arial" w:eastAsia="Arial" w:hAnsi="Arial"/>
          <w:sz w:val="24"/>
          <w:szCs w:val="24"/>
        </w:rPr>
        <w:t xml:space="preserve">Therapeutic potential and potency data for each compound (from parallel Angelini analysis)</w:t>
      </w:r>
    </w:p>
    <w:p>
      <w:pPr>
        <w:pStyle w:val="ListParagraph"/>
        <w:numPr>
          <w:ilvl w:val="0"/>
          <w:numId w:val="2"/>
        </w:numPr>
      </w:pPr>
      <w:r>
        <w:rPr>
          <w:rFonts w:ascii="Arial" w:cs="Arial" w:eastAsia="Arial" w:hAnsi="Arial"/>
          <w:sz w:val="24"/>
          <w:szCs w:val="24"/>
        </w:rPr>
        <w:t xml:space="preserve">DEE disease severity and unmet medical need assessment</w:t>
      </w:r>
    </w:p>
    <w:p>
      <w:pPr>
        <w:pStyle w:val="ListParagraph"/>
        <w:numPr>
          <w:ilvl w:val="0"/>
          <w:numId w:val="2"/>
        </w:numPr>
      </w:pPr>
      <w:r>
        <w:rPr>
          <w:rFonts w:ascii="Arial" w:cs="Arial" w:eastAsia="Arial" w:hAnsi="Arial"/>
          <w:sz w:val="24"/>
          <w:szCs w:val="24"/>
        </w:rPr>
        <w:t xml:space="preserve">Risk-benefit threshold for acceptable safety tradeoffs in rare disease context</w:t>
      </w:r>
    </w:p>
    <w:p>
      <w:pPr>
        <w:pStyle w:val="ListParagraph"/>
        <w:numPr>
          <w:ilvl w:val="0"/>
          <w:numId w:val="2"/>
        </w:numPr>
      </w:pPr>
      <w:r>
        <w:rPr>
          <w:rFonts w:ascii="Arial" w:cs="Arial" w:eastAsia="Arial" w:hAnsi="Arial"/>
          <w:sz w:val="24"/>
          <w:szCs w:val="24"/>
        </w:rPr>
        <w:t xml:space="preserve">Regulatory guidance on acceptable toxicity risks for orphan drug development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Multi-criteria decision analysis (MCDA) software for risk-benefit assessment</w:t>
      </w:r>
    </w:p>
    <w:p>
      <w:pPr>
        <w:pStyle w:val="ListParagraph"/>
        <w:numPr>
          <w:ilvl w:val="0"/>
          <w:numId w:val="2"/>
        </w:numPr>
      </w:pPr>
      <w:r>
        <w:rPr>
          <w:rFonts w:ascii="Arial" w:cs="Arial" w:eastAsia="Arial" w:hAnsi="Arial"/>
          <w:sz w:val="24"/>
          <w:szCs w:val="24"/>
        </w:rPr>
        <w:t xml:space="preserve">Weighted scoring models integrating safety, potency, and therapeutic need</w:t>
      </w:r>
    </w:p>
    <w:p>
      <w:pPr>
        <w:pStyle w:val="ListParagraph"/>
        <w:numPr>
          <w:ilvl w:val="0"/>
          <w:numId w:val="2"/>
        </w:numPr>
      </w:pPr>
      <w:r>
        <w:rPr>
          <w:rFonts w:ascii="Arial" w:cs="Arial" w:eastAsia="Arial" w:hAnsi="Arial"/>
          <w:sz w:val="24"/>
          <w:szCs w:val="24"/>
        </w:rPr>
        <w:t xml:space="preserve">Sensitivity analysis for varying risk tolerance thresholds</w:t>
      </w:r>
    </w:p>
    <w:p>
      <w:pPr>
        <w:pStyle w:val="ListParagraph"/>
        <w:numPr>
          <w:ilvl w:val="0"/>
          <w:numId w:val="2"/>
        </w:numPr>
      </w:pPr>
      <w:r>
        <w:rPr>
          <w:rFonts w:ascii="Arial" w:cs="Arial" w:eastAsia="Arial" w:hAnsi="Arial"/>
          <w:sz w:val="24"/>
          <w:szCs w:val="24"/>
        </w:rPr>
        <w:t xml:space="preserve">Visualization tools for risk-benefit matrices and compound positioning</w:t>
      </w:r>
    </w:p>
    <w:p>
      <w:pPr>
        <w:pStyle w:val="ListParagraph"/>
        <w:numPr>
          <w:ilvl w:val="0"/>
          <w:numId w:val="2"/>
        </w:numPr>
      </w:pPr>
      <w:r>
        <w:rPr>
          <w:rFonts w:ascii="Arial" w:cs="Arial" w:eastAsia="Arial" w:hAnsi="Arial"/>
          <w:sz w:val="24"/>
          <w:szCs w:val="24"/>
        </w:rPr>
        <w:t xml:space="preserve">Regulatory affairs databases (Eggbasket, Integrity) for precedent approval decisions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hit compound, what is the integrated safety-efficacy-need index balancing therapeutic potential against identified safety concerns?</w:t>
      </w:r>
    </w:p>
    <w:p>
      <w:pPr>
        <w:pStyle w:val="ListParagraph"/>
        <w:numPr>
          <w:ilvl w:val="0"/>
          <w:numId w:val="2"/>
        </w:numPr>
      </w:pPr>
      <w:r>
        <w:rPr>
          <w:rFonts w:ascii="Arial" w:cs="Arial" w:eastAsia="Arial" w:hAnsi="Arial"/>
          <w:i/>
          <w:iCs/>
          <w:sz w:val="24"/>
          <w:szCs w:val="24"/>
        </w:rPr>
        <w:t xml:space="preserve">Which compounds are recommended for advancement to preclinical safety testing vs. deprioritization due to acceptable toxicity profiles?</w:t>
      </w:r>
    </w:p>
    <w:p>
      <w:pPr>
        <w:pStyle w:val="ListParagraph"/>
        <w:numPr>
          <w:ilvl w:val="0"/>
          <w:numId w:val="2"/>
        </w:numPr>
      </w:pPr>
      <w:r>
        <w:rPr>
          <w:rFonts w:ascii="Arial" w:cs="Arial" w:eastAsia="Arial" w:hAnsi="Arial"/>
          <w:i/>
          <w:iCs/>
          <w:sz w:val="24"/>
          <w:szCs w:val="24"/>
        </w:rPr>
        <w:t xml:space="preserve">How should risk tolerance for safety liabilities vary between different functional clusters with different disease severity levels?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Prioritized compound list for development advancement with integrated safety-efficacy scoring</w:t>
      </w:r>
    </w:p>
    <w:p>
      <w:pPr>
        <w:pStyle w:val="ListParagraph"/>
        <w:numPr>
          <w:ilvl w:val="0"/>
          <w:numId w:val="2"/>
        </w:numPr>
      </w:pPr>
      <w:r>
        <w:rPr>
          <w:rFonts w:ascii="Arial" w:cs="Arial" w:eastAsia="Arial" w:hAnsi="Arial"/>
          <w:sz w:val="24"/>
          <w:szCs w:val="24"/>
        </w:rPr>
        <w:t xml:space="preserve">Risk-benefit matrices positioning compounds by potency vs. toxicity profile and therapeutic need</w:t>
      </w:r>
    </w:p>
    <w:p>
      <w:pPr>
        <w:pStyle w:val="ListParagraph"/>
        <w:numPr>
          <w:ilvl w:val="0"/>
          <w:numId w:val="2"/>
        </w:numPr>
      </w:pPr>
      <w:r>
        <w:rPr>
          <w:rFonts w:ascii="Arial" w:cs="Arial" w:eastAsia="Arial" w:hAnsi="Arial"/>
          <w:sz w:val="24"/>
          <w:szCs w:val="24"/>
        </w:rPr>
        <w:t xml:space="preserve">Go/No-Go recommendations for each compound with rationale and safety monitoring recommendations</w:t>
      </w:r>
    </w:p>
    <w:p>
      <w:pPr>
        <w:pStyle w:val="ListParagraph"/>
        <w:numPr>
          <w:ilvl w:val="0"/>
          <w:numId w:val="2"/>
        </w:numPr>
      </w:pPr>
      <w:r>
        <w:rPr>
          <w:rFonts w:ascii="Arial" w:cs="Arial" w:eastAsia="Arial" w:hAnsi="Arial"/>
          <w:sz w:val="24"/>
          <w:szCs w:val="24"/>
        </w:rPr>
        <w:t xml:space="preserve">Sorted candidate lists for cluster-specific development programs based on therapeutic suitability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Executive summary with safety-efficacy matrices, prioritized compound lists, go/no-go decisions, and cluster-specific recommendations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detailed safety assessment summaries and preclinical development plans for prioritized compounds.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Final prioritized compound list and go/no-go recommendations from Stage 5</w:t>
      </w:r>
    </w:p>
    <w:p>
      <w:pPr>
        <w:pStyle w:val="ListParagraph"/>
        <w:numPr>
          <w:ilvl w:val="0"/>
          <w:numId w:val="2"/>
        </w:numPr>
      </w:pPr>
      <w:r>
        <w:rPr>
          <w:rFonts w:ascii="Arial" w:cs="Arial" w:eastAsia="Arial" w:hAnsi="Arial"/>
          <w:sz w:val="24"/>
          <w:szCs w:val="24"/>
        </w:rPr>
        <w:t xml:space="preserve">Comprehensive toxicity profiles and safety concerns for selected compounds</w:t>
      </w:r>
    </w:p>
    <w:p>
      <w:pPr>
        <w:pStyle w:val="ListParagraph"/>
        <w:numPr>
          <w:ilvl w:val="0"/>
          <w:numId w:val="2"/>
        </w:numPr>
      </w:pPr>
      <w:r>
        <w:rPr>
          <w:rFonts w:ascii="Arial" w:cs="Arial" w:eastAsia="Arial" w:hAnsi="Arial"/>
          <w:sz w:val="24"/>
          <w:szCs w:val="24"/>
        </w:rPr>
        <w:t xml:space="preserve">Preclinical safety testing requirements (ICH, FDA guidance, OECD standards)</w:t>
      </w:r>
    </w:p>
    <w:p>
      <w:pPr>
        <w:pStyle w:val="ListParagraph"/>
        <w:numPr>
          <w:ilvl w:val="0"/>
          <w:numId w:val="2"/>
        </w:numPr>
      </w:pPr>
      <w:r>
        <w:rPr>
          <w:rFonts w:ascii="Arial" w:cs="Arial" w:eastAsia="Arial" w:hAnsi="Arial"/>
          <w:sz w:val="24"/>
          <w:szCs w:val="24"/>
        </w:rPr>
        <w:t xml:space="preserve">Safety pharmacology and off-target effect assessment needs</w:t>
      </w:r>
    </w:p>
    <w:p>
      <w:pPr>
        <w:pStyle w:val="ListParagraph"/>
        <w:numPr>
          <w:ilvl w:val="0"/>
          <w:numId w:val="2"/>
        </w:numPr>
      </w:pPr>
      <w:r>
        <w:rPr>
          <w:rFonts w:ascii="Arial" w:cs="Arial" w:eastAsia="Arial" w:hAnsi="Arial"/>
          <w:sz w:val="24"/>
          <w:szCs w:val="24"/>
        </w:rPr>
        <w:t xml:space="preserve">Risk mitigation strategies and additional characterization required</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FDA Guidance on Nonclinical Safety Evaluation of Pediatric Drug Products</w:t>
      </w:r>
    </w:p>
    <w:p>
      <w:pPr>
        <w:pStyle w:val="ListParagraph"/>
        <w:numPr>
          <w:ilvl w:val="0"/>
          <w:numId w:val="2"/>
        </w:numPr>
      </w:pPr>
      <w:r>
        <w:rPr>
          <w:rFonts w:ascii="Arial" w:cs="Arial" w:eastAsia="Arial" w:hAnsi="Arial"/>
          <w:sz w:val="24"/>
          <w:szCs w:val="24"/>
        </w:rPr>
        <w:t xml:space="preserve">ICH M3(R2) guidance on nonclinical safety testing for drug development</w:t>
      </w:r>
    </w:p>
    <w:p>
      <w:pPr>
        <w:pStyle w:val="ListParagraph"/>
        <w:numPr>
          <w:ilvl w:val="0"/>
          <w:numId w:val="2"/>
        </w:numPr>
      </w:pPr>
      <w:r>
        <w:rPr>
          <w:rFonts w:ascii="Arial" w:cs="Arial" w:eastAsia="Arial" w:hAnsi="Arial"/>
          <w:sz w:val="24"/>
          <w:szCs w:val="24"/>
        </w:rPr>
        <w:t xml:space="preserve">OECD Test Guidelines for toxicity testing methods and standards</w:t>
      </w:r>
    </w:p>
    <w:p>
      <w:pPr>
        <w:pStyle w:val="ListParagraph"/>
        <w:numPr>
          <w:ilvl w:val="0"/>
          <w:numId w:val="2"/>
        </w:numPr>
      </w:pPr>
      <w:r>
        <w:rPr>
          <w:rFonts w:ascii="Arial" w:cs="Arial" w:eastAsia="Arial" w:hAnsi="Arial"/>
          <w:sz w:val="24"/>
          <w:szCs w:val="24"/>
        </w:rPr>
        <w:t xml:space="preserve">Safety pharmacology testing protocols for neurological liability assessment</w:t>
      </w:r>
    </w:p>
    <w:p>
      <w:pPr>
        <w:pStyle w:val="ListParagraph"/>
        <w:numPr>
          <w:ilvl w:val="0"/>
          <w:numId w:val="2"/>
        </w:numPr>
      </w:pPr>
      <w:r>
        <w:rPr>
          <w:rFonts w:ascii="Arial" w:cs="Arial" w:eastAsia="Arial" w:hAnsi="Arial"/>
          <w:sz w:val="24"/>
          <w:szCs w:val="24"/>
        </w:rPr>
        <w:t xml:space="preserve">Regulatory databases for precedent in pediatric rare disease development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the top 3-5 lead compounds, what is the minimum nonclinical safety testing package required for IND-enabling studies?</w:t>
      </w:r>
    </w:p>
    <w:p>
      <w:pPr>
        <w:pStyle w:val="ListParagraph"/>
        <w:numPr>
          <w:ilvl w:val="0"/>
          <w:numId w:val="2"/>
        </w:numPr>
      </w:pPr>
      <w:r>
        <w:rPr>
          <w:rFonts w:ascii="Arial" w:cs="Arial" w:eastAsia="Arial" w:hAnsi="Arial"/>
          <w:i/>
          <w:iCs/>
          <w:sz w:val="24"/>
          <w:szCs w:val="24"/>
        </w:rPr>
        <w:t xml:space="preserve">What additional characterization (target selectivity, metabolite profiling, etc.) would reduce toxicity risk and support safe IND filing?</w:t>
      </w:r>
    </w:p>
    <w:p>
      <w:pPr>
        <w:pStyle w:val="ListParagraph"/>
        <w:numPr>
          <w:ilvl w:val="0"/>
          <w:numId w:val="2"/>
        </w:numPr>
      </w:pPr>
      <w:r>
        <w:rPr>
          <w:rFonts w:ascii="Arial" w:cs="Arial" w:eastAsia="Arial" w:hAnsi="Arial"/>
          <w:i/>
          <w:iCs/>
          <w:sz w:val="24"/>
          <w:szCs w:val="24"/>
        </w:rPr>
        <w:t xml:space="preserve">What are the key safety parameters to monitor in first-in-human and pediatric clinical trials based on identified nonclinical liabilities?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safety dossiers for lead compounds with all identified toxicity concerns and supporting data compilations</w:t>
      </w:r>
    </w:p>
    <w:p>
      <w:pPr>
        <w:pStyle w:val="ListParagraph"/>
        <w:numPr>
          <w:ilvl w:val="0"/>
          <w:numId w:val="2"/>
        </w:numPr>
      </w:pPr>
      <w:r>
        <w:rPr>
          <w:rFonts w:ascii="Arial" w:cs="Arial" w:eastAsia="Arial" w:hAnsi="Arial"/>
          <w:sz w:val="24"/>
          <w:szCs w:val="24"/>
        </w:rPr>
        <w:t xml:space="preserve">IND-enabling study plans with recommended testing package and rationale for each study</w:t>
      </w:r>
    </w:p>
    <w:p>
      <w:pPr>
        <w:pStyle w:val="ListParagraph"/>
        <w:numPr>
          <w:ilvl w:val="0"/>
          <w:numId w:val="2"/>
        </w:numPr>
      </w:pPr>
      <w:r>
        <w:rPr>
          <w:rFonts w:ascii="Arial" w:cs="Arial" w:eastAsia="Arial" w:hAnsi="Arial"/>
          <w:sz w:val="24"/>
          <w:szCs w:val="24"/>
        </w:rPr>
        <w:t xml:space="preserve">Risk mitigation strategies and monitoring plans for identified safety liabilities</w:t>
      </w:r>
    </w:p>
    <w:p>
      <w:pPr>
        <w:pStyle w:val="ListParagraph"/>
        <w:numPr>
          <w:ilvl w:val="0"/>
          <w:numId w:val="2"/>
        </w:numPr>
      </w:pPr>
      <w:r>
        <w:rPr>
          <w:rFonts w:ascii="Arial" w:cs="Arial" w:eastAsia="Arial" w:hAnsi="Arial"/>
          <w:sz w:val="24"/>
          <w:szCs w:val="24"/>
        </w:rPr>
        <w:t xml:space="preserve">Clinical safety assessment templates and adverse event monitoring protocols for pediatric trials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Multi-section safety development documents including toxicity summaries, IND-enabling study plans, risk mitigation strategies, and clinical monitoring protocols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ToxCast - EPA high-throughput toxicity screening program with results across 500+ assays and 8,000+ chemicals</w:t>
      </w:r>
    </w:p>
    <w:p>
      <w:pPr>
        <w:pStyle w:val="ListParagraph"/>
        <w:numPr>
          <w:ilvl w:val="0"/>
          <w:numId w:val="2"/>
        </w:numPr>
      </w:pPr>
      <w:r>
        <w:rPr>
          <w:rFonts w:ascii="Arial" w:cs="Arial" w:eastAsia="Arial" w:hAnsi="Arial"/>
          <w:sz w:val="24"/>
          <w:szCs w:val="24"/>
        </w:rPr>
        <w:t xml:space="preserve">Tox21 - collaborative toxicity screening initiative evaluating compounds across nuclear receptor and stress response pathways</w:t>
      </w:r>
    </w:p>
    <w:p>
      <w:pPr>
        <w:pStyle w:val="ListParagraph"/>
        <w:numPr>
          <w:ilvl w:val="0"/>
          <w:numId w:val="2"/>
        </w:numPr>
      </w:pPr>
      <w:r>
        <w:rPr>
          <w:rFonts w:ascii="Arial" w:cs="Arial" w:eastAsia="Arial" w:hAnsi="Arial"/>
          <w:sz w:val="24"/>
          <w:szCs w:val="24"/>
        </w:rPr>
        <w:t xml:space="preserve">eTOXsys - European integrated toxicity database with rat toxicity study data and standardized endpoint information</w:t>
      </w:r>
    </w:p>
    <w:p>
      <w:pPr>
        <w:pStyle w:val="ListParagraph"/>
        <w:numPr>
          <w:ilvl w:val="0"/>
          <w:numId w:val="2"/>
        </w:numPr>
      </w:pPr>
      <w:r>
        <w:rPr>
          <w:rFonts w:ascii="Arial" w:cs="Arial" w:eastAsia="Arial" w:hAnsi="Arial"/>
          <w:sz w:val="24"/>
          <w:szCs w:val="24"/>
        </w:rPr>
        <w:t xml:space="preserve">VigiBase - WHO global Individual Case Safety Reports database with adverse event frequency information</w:t>
      </w:r>
    </w:p>
    <w:p>
      <w:pPr>
        <w:pStyle w:val="ListParagraph"/>
        <w:numPr>
          <w:ilvl w:val="0"/>
          <w:numId w:val="2"/>
        </w:numPr>
      </w:pPr>
      <w:r>
        <w:rPr>
          <w:rFonts w:ascii="Arial" w:cs="Arial" w:eastAsia="Arial" w:hAnsi="Arial"/>
          <w:sz w:val="24"/>
          <w:szCs w:val="24"/>
        </w:rPr>
        <w:t xml:space="preserve">FDA FAERS - FDA Adverse Event Reporting System for post-market safety surveillance and adverse event monitoring</w:t>
      </w:r>
    </w:p>
    <w:p>
      <w:pPr>
        <w:pStyle w:val="ListParagraph"/>
        <w:numPr>
          <w:ilvl w:val="0"/>
          <w:numId w:val="2"/>
        </w:numPr>
      </w:pPr>
      <w:r>
        <w:rPr>
          <w:rFonts w:ascii="Arial" w:cs="Arial" w:eastAsia="Arial" w:hAnsi="Arial"/>
          <w:sz w:val="24"/>
          <w:szCs w:val="24"/>
        </w:rPr>
        <w:t xml:space="preserve">EudraVigilance - European adverse event database with marketed drug safety signals and adverse event reports</w:t>
      </w:r>
    </w:p>
    <w:p>
      <w:pPr>
        <w:pStyle w:val="ListParagraph"/>
        <w:numPr>
          <w:ilvl w:val="0"/>
          <w:numId w:val="2"/>
        </w:numPr>
      </w:pPr>
      <w:r>
        <w:rPr>
          <w:rFonts w:ascii="Arial" w:cs="Arial" w:eastAsia="Arial" w:hAnsi="Arial"/>
          <w:sz w:val="24"/>
          <w:szCs w:val="24"/>
        </w:rPr>
        <w:t xml:space="preserve">DrugBank - integrated drug and target database with safety information and clinical adverse events</w:t>
      </w:r>
    </w:p>
    <w:p>
      <w:pPr>
        <w:pStyle w:val="ListParagraph"/>
        <w:numPr>
          <w:ilvl w:val="0"/>
          <w:numId w:val="2"/>
        </w:numPr>
      </w:pPr>
      <w:r>
        <w:rPr>
          <w:rFonts w:ascii="Arial" w:cs="Arial" w:eastAsia="Arial" w:hAnsi="Arial"/>
          <w:sz w:val="24"/>
          <w:szCs w:val="24"/>
        </w:rPr>
        <w:t xml:space="preserve">OECD QSAR Toolbox - structural alert identification and read-across for toxicity prediction</w:t>
      </w:r>
    </w:p>
    <w:p>
      <w:pPr>
        <w:pStyle w:val="ListParagraph"/>
        <w:numPr>
          <w:ilvl w:val="0"/>
          <w:numId w:val="2"/>
        </w:numPr>
      </w:pPr>
      <w:r>
        <w:rPr>
          <w:rFonts w:ascii="Arial" w:cs="Arial" w:eastAsia="Arial" w:hAnsi="Arial"/>
          <w:sz w:val="24"/>
          <w:szCs w:val="24"/>
        </w:rPr>
        <w:t xml:space="preserve">Derek Nexus - rule-based structural toxicity prediction and hazard identification</w:t>
      </w:r>
    </w:p>
    <w:p>
      <w:pPr>
        <w:pStyle w:val="ListParagraph"/>
        <w:numPr>
          <w:ilvl w:val="0"/>
          <w:numId w:val="2"/>
        </w:numPr>
      </w:pPr>
      <w:r>
        <w:rPr>
          <w:rFonts w:ascii="Arial" w:cs="Arial" w:eastAsia="Arial" w:hAnsi="Arial"/>
          <w:sz w:val="24"/>
          <w:szCs w:val="24"/>
        </w:rPr>
        <w:t xml:space="preserve">ChemIDplus - NIH chemical identifier cross-referencing for compound harmonization across databases</w:t>
      </w:r>
    </w:p>
    <w:p>
      <w:pPr>
        <w:pStyle w:val="ListParagraph"/>
        <w:numPr>
          <w:ilvl w:val="0"/>
          <w:numId w:val="2"/>
        </w:numPr>
      </w:pPr>
      <w:r>
        <w:rPr>
          <w:rFonts w:ascii="Arial" w:cs="Arial" w:eastAsia="Arial" w:hAnsi="Arial"/>
          <w:sz w:val="24"/>
          <w:szCs w:val="24"/>
        </w:rPr>
        <w:t xml:space="preserve">PubChem - public compound database with integrated toxicity data and bioassay results</w:t>
      </w:r>
    </w:p>
    <w:p>
      <w:pPr>
        <w:pStyle w:val="ListParagraph"/>
        <w:numPr>
          <w:ilvl w:val="0"/>
          <w:numId w:val="2"/>
        </w:numPr>
      </w:pPr>
      <w:r>
        <w:rPr>
          <w:rFonts w:ascii="Arial" w:cs="Arial" w:eastAsia="Arial" w:hAnsi="Arial"/>
          <w:sz w:val="24"/>
          <w:szCs w:val="24"/>
        </w:rPr>
        <w:t xml:space="preserve">ECHA REACH - European chemical registration dossiers with safety assessment information</w:t>
      </w:r>
    </w:p>
    <w:p>
      <w:pPr>
        <w:pStyle w:val="ListParagraph"/>
        <w:numPr>
          <w:ilvl w:val="0"/>
          <w:numId w:val="2"/>
        </w:numPr>
      </w:pPr>
      <w:r>
        <w:rPr>
          <w:rFonts w:ascii="Arial" w:cs="Arial" w:eastAsia="Arial" w:hAnsi="Arial"/>
          <w:sz w:val="24"/>
          <w:szCs w:val="24"/>
        </w:rPr>
        <w:t xml:space="preserve">ICH Guidance Documents - international regulatory standards for nonclinical and clinical safety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2026-03-25T18:05:12.003Z</dcterms:created>
  <dcterms:modified xsi:type="dcterms:W3CDTF">2026-03-25T18:05:12.003Z</dcterms:modified>
</cp:coreProperties>
</file>

<file path=docProps/custom.xml><?xml version="1.0" encoding="utf-8"?>
<Properties xmlns="http://schemas.openxmlformats.org/officeDocument/2006/custom-properties" xmlns:vt="http://schemas.openxmlformats.org/officeDocument/2006/docPropsVTypes"/>
</file>