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#075: ASO Development Candidate Selection via CRISPRn-Optopatch Correlation Analysis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From the Angelini compound screening data, identify hit compounds suitable for ASO development by analyzing whether the Optopatch rescue phenotype is mimicked by genetic knockdown of the predicted target using CRISPRn data from the same Angelini functional screen.</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Identify Angelini hit compounds suitable for antisense oligonucleotide (ASO) development by analyzing the functional correspondence between Optopatch rescue phenotypes and genetic knockdown experiments using CRISPRn, enabling selection of targets with validated pharmacological rescue potential.</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comparative phenotypic analysis across different genetic and pharmacological perturbation modalities, integration of genome-wide CRISPR data with functional assays, and quantitative assessment of phenotypic concordance across multiple dimensions.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Angelini Optopatch rescue data and corresponding CRISPRn loss-of-function data for target validation.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Optopatch rescue assay results with hit compounds and potency measures</w:t>
      </w:r>
    </w:p>
    <w:p>
      <w:pPr>
        <w:pStyle w:val="ListParagraph"/>
        <w:numPr>
          <w:ilvl w:val="0"/>
          <w:numId w:val="2"/>
        </w:numPr>
      </w:pPr>
      <w:r>
        <w:rPr>
          <w:rFonts w:ascii="Arial" w:cs="Arial" w:eastAsia="Arial" w:hAnsi="Arial"/>
          <w:sz w:val="24"/>
          <w:szCs w:val="24"/>
        </w:rPr>
        <w:t xml:space="preserve">Angelini CRISPRn genome-wide knockout screen results for same cell systems</w:t>
      </w:r>
    </w:p>
    <w:p>
      <w:pPr>
        <w:pStyle w:val="ListParagraph"/>
        <w:numPr>
          <w:ilvl w:val="0"/>
          <w:numId w:val="2"/>
        </w:numPr>
      </w:pPr>
      <w:r>
        <w:rPr>
          <w:rFonts w:ascii="Arial" w:cs="Arial" w:eastAsia="Arial" w:hAnsi="Arial"/>
          <w:sz w:val="24"/>
          <w:szCs w:val="24"/>
        </w:rPr>
        <w:t xml:space="preserve">CRISPRn guide RNA sequences and knockdown efficiency data (qPCR, Western blot validation)</w:t>
      </w:r>
    </w:p>
    <w:p>
      <w:pPr>
        <w:pStyle w:val="ListParagraph"/>
        <w:numPr>
          <w:ilvl w:val="0"/>
          <w:numId w:val="2"/>
        </w:numPr>
      </w:pPr>
      <w:r>
        <w:rPr>
          <w:rFonts w:ascii="Arial" w:cs="Arial" w:eastAsia="Arial" w:hAnsi="Arial"/>
          <w:sz w:val="24"/>
          <w:szCs w:val="24"/>
        </w:rPr>
        <w:t xml:space="preserve">Functional cluster gene lists and predicted compound targets</w:t>
      </w:r>
    </w:p>
    <w:p>
      <w:pPr>
        <w:pStyle w:val="ListParagraph"/>
        <w:numPr>
          <w:ilvl w:val="0"/>
          <w:numId w:val="2"/>
        </w:numPr>
      </w:pPr>
      <w:r>
        <w:rPr>
          <w:rFonts w:ascii="Arial" w:cs="Arial" w:eastAsia="Arial" w:hAnsi="Arial"/>
          <w:sz w:val="24"/>
          <w:szCs w:val="24"/>
        </w:rPr>
        <w:t xml:space="preserve">Cell viability and off-target analysis for CRISPRn experiments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GeneData Screener for assay data management and analysis</w:t>
      </w:r>
    </w:p>
    <w:p>
      <w:pPr>
        <w:pStyle w:val="ListParagraph"/>
        <w:numPr>
          <w:ilvl w:val="0"/>
          <w:numId w:val="2"/>
        </w:numPr>
      </w:pPr>
      <w:r>
        <w:rPr>
          <w:rFonts w:ascii="Arial" w:cs="Arial" w:eastAsia="Arial" w:hAnsi="Arial"/>
          <w:sz w:val="24"/>
          <w:szCs w:val="24"/>
        </w:rPr>
        <w:t xml:space="preserve">Bowtie2 or similar for guide RNA off-target mapping</w:t>
      </w:r>
    </w:p>
    <w:p>
      <w:pPr>
        <w:pStyle w:val="ListParagraph"/>
        <w:numPr>
          <w:ilvl w:val="0"/>
          <w:numId w:val="2"/>
        </w:numPr>
      </w:pPr>
      <w:r>
        <w:rPr>
          <w:rFonts w:ascii="Arial" w:cs="Arial" w:eastAsia="Arial" w:hAnsi="Arial"/>
          <w:sz w:val="24"/>
          <w:szCs w:val="24"/>
        </w:rPr>
        <w:t xml:space="preserve">Cas-OFFinder for genome-wide guide RNA specificity assessment</w:t>
      </w:r>
    </w:p>
    <w:p>
      <w:pPr>
        <w:pStyle w:val="ListParagraph"/>
        <w:numPr>
          <w:ilvl w:val="0"/>
          <w:numId w:val="2"/>
        </w:numPr>
      </w:pPr>
      <w:r>
        <w:rPr>
          <w:rFonts w:ascii="Arial" w:cs="Arial" w:eastAsia="Arial" w:hAnsi="Arial"/>
          <w:sz w:val="24"/>
          <w:szCs w:val="24"/>
        </w:rPr>
        <w:t xml:space="preserve">qPCR data analysis software (LinRegPCR, Roche LightCycler)</w:t>
      </w:r>
    </w:p>
    <w:p>
      <w:pPr>
        <w:pStyle w:val="ListParagraph"/>
        <w:numPr>
          <w:ilvl w:val="0"/>
          <w:numId w:val="2"/>
        </w:numPr>
      </w:pPr>
      <w:r>
        <w:rPr>
          <w:rFonts w:ascii="Arial" w:cs="Arial" w:eastAsia="Arial" w:hAnsi="Arial"/>
          <w:sz w:val="24"/>
          <w:szCs w:val="24"/>
        </w:rPr>
        <w:t xml:space="preserve">R packages for assay quality control and normalization (limma, DESeq2)</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predicted target of hit compounds, what is the knockdown efficiency achieved with CRISPRn, and is the knockdown complete enough for functional assessment?</w:t>
      </w:r>
    </w:p>
    <w:p>
      <w:pPr>
        <w:pStyle w:val="ListParagraph"/>
        <w:numPr>
          <w:ilvl w:val="0"/>
          <w:numId w:val="2"/>
        </w:numPr>
      </w:pPr>
      <w:r>
        <w:rPr>
          <w:rFonts w:ascii="Arial" w:cs="Arial" w:eastAsia="Arial" w:hAnsi="Arial"/>
          <w:i/>
          <w:iCs/>
          <w:sz w:val="24"/>
          <w:szCs w:val="24"/>
        </w:rPr>
        <w:t xml:space="preserve">Were off-target effects assessed and controlled for in CRISPRn experiments, and did off-target hits show phenotypes similar to on-target knockdown?</w:t>
      </w:r>
    </w:p>
    <w:p>
      <w:pPr>
        <w:pStyle w:val="ListParagraph"/>
        <w:numPr>
          <w:ilvl w:val="0"/>
          <w:numId w:val="2"/>
        </w:numPr>
      </w:pPr>
      <w:r>
        <w:rPr>
          <w:rFonts w:ascii="Arial" w:cs="Arial" w:eastAsia="Arial" w:hAnsi="Arial"/>
          <w:i/>
          <w:iCs/>
          <w:sz w:val="24"/>
          <w:szCs w:val="24"/>
        </w:rPr>
        <w:t xml:space="preserve">What are the baseline Optopatch rescue phenotypes in vehicle control and positive control conditions for both pharmacological and genetic perturbations?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Compiled dataset linking hit compounds to predicted targets with Optopatch potency values and EC50/Emax measures</w:t>
      </w:r>
    </w:p>
    <w:p>
      <w:pPr>
        <w:pStyle w:val="ListParagraph"/>
        <w:numPr>
          <w:ilvl w:val="0"/>
          <w:numId w:val="2"/>
        </w:numPr>
      </w:pPr>
      <w:r>
        <w:rPr>
          <w:rFonts w:ascii="Arial" w:cs="Arial" w:eastAsia="Arial" w:hAnsi="Arial"/>
          <w:sz w:val="24"/>
          <w:szCs w:val="24"/>
        </w:rPr>
        <w:t xml:space="preserve">CRISPRn knockdown efficiency data for all targeted genes with validation metrics and off-target analysis</w:t>
      </w:r>
    </w:p>
    <w:p>
      <w:pPr>
        <w:pStyle w:val="ListParagraph"/>
        <w:numPr>
          <w:ilvl w:val="0"/>
          <w:numId w:val="2"/>
        </w:numPr>
      </w:pPr>
      <w:r>
        <w:rPr>
          <w:rFonts w:ascii="Arial" w:cs="Arial" w:eastAsia="Arial" w:hAnsi="Arial"/>
          <w:sz w:val="24"/>
          <w:szCs w:val="24"/>
        </w:rPr>
        <w:t xml:space="preserve">Baseline phenotypic reference values for Optopatch assays across both pharmacological and genetic perturbation modes</w:t>
      </w:r>
    </w:p>
    <w:p>
      <w:pPr>
        <w:pStyle w:val="ListParagraph"/>
        <w:numPr>
          <w:ilvl w:val="0"/>
          <w:numId w:val="2"/>
        </w:numPr>
      </w:pPr>
      <w:r>
        <w:rPr>
          <w:rFonts w:ascii="Arial" w:cs="Arial" w:eastAsia="Arial" w:hAnsi="Arial"/>
          <w:sz w:val="24"/>
          <w:szCs w:val="24"/>
        </w:rPr>
        <w:t xml:space="preserve">Quality control assessments confirming assay reproducibility and biological relevance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data tables with compound-target linkages, CRISPRn efficiency metrics, baseline phenotypes, and quality control flags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Analyze phenotypic concordance between chemical compound treatment and genetic target knockdown across functional readouts.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Optopatch rescue data for hit compounds from Stage 1</w:t>
      </w:r>
    </w:p>
    <w:p>
      <w:pPr>
        <w:pStyle w:val="ListParagraph"/>
        <w:numPr>
          <w:ilvl w:val="0"/>
          <w:numId w:val="2"/>
        </w:numPr>
      </w:pPr>
      <w:r>
        <w:rPr>
          <w:rFonts w:ascii="Arial" w:cs="Arial" w:eastAsia="Arial" w:hAnsi="Arial"/>
          <w:sz w:val="24"/>
          <w:szCs w:val="24"/>
        </w:rPr>
        <w:t xml:space="preserve">CRISPRn knockdown phenotypes for predicted targets from Stage 1</w:t>
      </w:r>
    </w:p>
    <w:p>
      <w:pPr>
        <w:pStyle w:val="ListParagraph"/>
        <w:numPr>
          <w:ilvl w:val="0"/>
          <w:numId w:val="2"/>
        </w:numPr>
      </w:pPr>
      <w:r>
        <w:rPr>
          <w:rFonts w:ascii="Arial" w:cs="Arial" w:eastAsia="Arial" w:hAnsi="Arial"/>
          <w:sz w:val="24"/>
          <w:szCs w:val="24"/>
        </w:rPr>
        <w:t xml:space="preserve">Functional measurements from Optopatch assays (action potential kinetics, calcium dynamics, etc.)</w:t>
      </w:r>
    </w:p>
    <w:p>
      <w:pPr>
        <w:pStyle w:val="ListParagraph"/>
        <w:numPr>
          <w:ilvl w:val="0"/>
          <w:numId w:val="2"/>
        </w:numPr>
      </w:pPr>
      <w:r>
        <w:rPr>
          <w:rFonts w:ascii="Arial" w:cs="Arial" w:eastAsia="Arial" w:hAnsi="Arial"/>
          <w:sz w:val="24"/>
          <w:szCs w:val="24"/>
        </w:rPr>
        <w:t xml:space="preserve">Additional rescue measurements if available (electrophysiology, morphology, gene expression)</w:t>
      </w:r>
    </w:p>
    <w:p>
      <w:pPr>
        <w:pStyle w:val="ListParagraph"/>
        <w:numPr>
          <w:ilvl w:val="0"/>
          <w:numId w:val="2"/>
        </w:numPr>
      </w:pPr>
      <w:r>
        <w:rPr>
          <w:rFonts w:ascii="Arial" w:cs="Arial" w:eastAsia="Arial" w:hAnsi="Arial"/>
          <w:sz w:val="24"/>
          <w:szCs w:val="24"/>
        </w:rPr>
        <w:t xml:space="preserve">Statistical frameworks for concordance assessment (correlation, effect size comparison, phenotypic fingerprint analysis)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statistical packages (lme4, ggplot2) for correlation and concordance analysis</w:t>
      </w:r>
    </w:p>
    <w:p>
      <w:pPr>
        <w:pStyle w:val="ListParagraph"/>
        <w:numPr>
          <w:ilvl w:val="0"/>
          <w:numId w:val="2"/>
        </w:numPr>
      </w:pPr>
      <w:r>
        <w:rPr>
          <w:rFonts w:ascii="Arial" w:cs="Arial" w:eastAsia="Arial" w:hAnsi="Arial"/>
          <w:sz w:val="24"/>
          <w:szCs w:val="24"/>
        </w:rPr>
        <w:t xml:space="preserve">Spearman and Pearson correlation for phenotypic comparison</w:t>
      </w:r>
    </w:p>
    <w:p>
      <w:pPr>
        <w:pStyle w:val="ListParagraph"/>
        <w:numPr>
          <w:ilvl w:val="0"/>
          <w:numId w:val="2"/>
        </w:numPr>
      </w:pPr>
      <w:r>
        <w:rPr>
          <w:rFonts w:ascii="Arial" w:cs="Arial" w:eastAsia="Arial" w:hAnsi="Arial"/>
          <w:sz w:val="24"/>
          <w:szCs w:val="24"/>
        </w:rPr>
        <w:t xml:space="preserve">Effect size calculation (Cohen's d) for compound vs. knockdown rescue magnitude</w:t>
      </w:r>
    </w:p>
    <w:p>
      <w:pPr>
        <w:pStyle w:val="ListParagraph"/>
        <w:numPr>
          <w:ilvl w:val="0"/>
          <w:numId w:val="2"/>
        </w:numPr>
      </w:pPr>
      <w:r>
        <w:rPr>
          <w:rFonts w:ascii="Arial" w:cs="Arial" w:eastAsia="Arial" w:hAnsi="Arial"/>
          <w:sz w:val="24"/>
          <w:szCs w:val="24"/>
        </w:rPr>
        <w:t xml:space="preserve">Phenotypic fingerprinting and hierarchical clustering for assay pattern matching</w:t>
      </w:r>
    </w:p>
    <w:p>
      <w:pPr>
        <w:pStyle w:val="ListParagraph"/>
        <w:numPr>
          <w:ilvl w:val="0"/>
          <w:numId w:val="2"/>
        </w:numPr>
      </w:pPr>
      <w:r>
        <w:rPr>
          <w:rFonts w:ascii="Arial" w:cs="Arial" w:eastAsia="Arial" w:hAnsi="Arial"/>
          <w:sz w:val="24"/>
          <w:szCs w:val="24"/>
        </w:rPr>
        <w:t xml:space="preserve">Python scikit-learn for classification and concordance scoring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predicted target, is the Optopatch rescue phenotype (action potential changes, calcium dynamics) similar between hit compound treatment and CRISPRn knockdown?</w:t>
      </w:r>
    </w:p>
    <w:p>
      <w:pPr>
        <w:pStyle w:val="ListParagraph"/>
        <w:numPr>
          <w:ilvl w:val="0"/>
          <w:numId w:val="2"/>
        </w:numPr>
      </w:pPr>
      <w:r>
        <w:rPr>
          <w:rFonts w:ascii="Arial" w:cs="Arial" w:eastAsia="Arial" w:hAnsi="Arial"/>
          <w:i/>
          <w:iCs/>
          <w:sz w:val="24"/>
          <w:szCs w:val="24"/>
        </w:rPr>
        <w:t xml:space="preserve">What is the concordance correlation coefficient between compound-induced and knockdown-induced phenotypic changes?</w:t>
      </w:r>
    </w:p>
    <w:p>
      <w:pPr>
        <w:pStyle w:val="ListParagraph"/>
        <w:numPr>
          <w:ilvl w:val="0"/>
          <w:numId w:val="2"/>
        </w:numPr>
      </w:pPr>
      <w:r>
        <w:rPr>
          <w:rFonts w:ascii="Arial" w:cs="Arial" w:eastAsia="Arial" w:hAnsi="Arial"/>
          <w:i/>
          <w:iCs/>
          <w:sz w:val="24"/>
          <w:szCs w:val="24"/>
        </w:rPr>
        <w:t xml:space="preserve">Do compounds with high Optopatch potency against their predicted targets show phenotypes that closely match CRISPRn knockdown of those targets?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Concordance correlation table comparing compound treatment vs. genetic knockdown phenotypes for each target</w:t>
      </w:r>
    </w:p>
    <w:p>
      <w:pPr>
        <w:pStyle w:val="ListParagraph"/>
        <w:numPr>
          <w:ilvl w:val="0"/>
          <w:numId w:val="2"/>
        </w:numPr>
      </w:pPr>
      <w:r>
        <w:rPr>
          <w:rFonts w:ascii="Arial" w:cs="Arial" w:eastAsia="Arial" w:hAnsi="Arial"/>
          <w:sz w:val="24"/>
          <w:szCs w:val="24"/>
        </w:rPr>
        <w:t xml:space="preserve">Ranked list of predicted targets by phenotypic concordance score with hit compounds</w:t>
      </w:r>
    </w:p>
    <w:p>
      <w:pPr>
        <w:pStyle w:val="ListParagraph"/>
        <w:numPr>
          <w:ilvl w:val="0"/>
          <w:numId w:val="2"/>
        </w:numPr>
      </w:pPr>
      <w:r>
        <w:rPr>
          <w:rFonts w:ascii="Arial" w:cs="Arial" w:eastAsia="Arial" w:hAnsi="Arial"/>
          <w:sz w:val="24"/>
          <w:szCs w:val="24"/>
        </w:rPr>
        <w:t xml:space="preserve">Effect size comparison (compound potency vs. knockdown penetrance) for each target</w:t>
      </w:r>
    </w:p>
    <w:p>
      <w:pPr>
        <w:pStyle w:val="ListParagraph"/>
        <w:numPr>
          <w:ilvl w:val="0"/>
          <w:numId w:val="2"/>
        </w:numPr>
      </w:pPr>
      <w:r>
        <w:rPr>
          <w:rFonts w:ascii="Arial" w:cs="Arial" w:eastAsia="Arial" w:hAnsi="Arial"/>
          <w:sz w:val="24"/>
          <w:szCs w:val="24"/>
        </w:rPr>
        <w:t xml:space="preserve">Identification of targets with discordant phenotypes (poor rescue correlation) suggesting off-target mechanisms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Comprehensive concordance analysis spreadsheet with correlation coefficients, effect sizes, concordance rankings, and mechanistic assessments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target suitability for ASO development based on validation and druggability criteria.</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Phenotypic concordance data from Stage 2 identifying validated compound targets</w:t>
      </w:r>
    </w:p>
    <w:p>
      <w:pPr>
        <w:pStyle w:val="ListParagraph"/>
        <w:numPr>
          <w:ilvl w:val="0"/>
          <w:numId w:val="2"/>
        </w:numPr>
      </w:pPr>
      <w:r>
        <w:rPr>
          <w:rFonts w:ascii="Arial" w:cs="Arial" w:eastAsia="Arial" w:hAnsi="Arial"/>
          <w:sz w:val="24"/>
          <w:szCs w:val="24"/>
        </w:rPr>
        <w:t xml:space="preserve">Target annotation data (splice variants, protein isoforms, subcellular localization)</w:t>
      </w:r>
    </w:p>
    <w:p>
      <w:pPr>
        <w:pStyle w:val="ListParagraph"/>
        <w:numPr>
          <w:ilvl w:val="0"/>
          <w:numId w:val="2"/>
        </w:numPr>
      </w:pPr>
      <w:r>
        <w:rPr>
          <w:rFonts w:ascii="Arial" w:cs="Arial" w:eastAsia="Arial" w:hAnsi="Arial"/>
          <w:sz w:val="24"/>
          <w:szCs w:val="24"/>
        </w:rPr>
        <w:t xml:space="preserve">ASO druggability assessment for candidate targets (sequence characteristics, structural accessibility)</w:t>
      </w:r>
    </w:p>
    <w:p>
      <w:pPr>
        <w:pStyle w:val="ListParagraph"/>
        <w:numPr>
          <w:ilvl w:val="0"/>
          <w:numId w:val="2"/>
        </w:numPr>
      </w:pPr>
      <w:r>
        <w:rPr>
          <w:rFonts w:ascii="Arial" w:cs="Arial" w:eastAsia="Arial" w:hAnsi="Arial"/>
          <w:sz w:val="24"/>
          <w:szCs w:val="24"/>
        </w:rPr>
        <w:t xml:space="preserve">Published ASO efficacy data for neurological targets (if available)</w:t>
      </w:r>
    </w:p>
    <w:p>
      <w:pPr>
        <w:pStyle w:val="ListParagraph"/>
        <w:numPr>
          <w:ilvl w:val="0"/>
          <w:numId w:val="2"/>
        </w:numPr>
      </w:pPr>
      <w:r>
        <w:rPr>
          <w:rFonts w:ascii="Arial" w:cs="Arial" w:eastAsia="Arial" w:hAnsi="Arial"/>
          <w:sz w:val="24"/>
          <w:szCs w:val="24"/>
        </w:rPr>
        <w:t xml:space="preserve">Off-target potential for candidate ASO sequences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NCBI Blast for target sequence validation and off-target analysis</w:t>
      </w:r>
    </w:p>
    <w:p>
      <w:pPr>
        <w:pStyle w:val="ListParagraph"/>
        <w:numPr>
          <w:ilvl w:val="0"/>
          <w:numId w:val="2"/>
        </w:numPr>
      </w:pPr>
      <w:r>
        <w:rPr>
          <w:rFonts w:ascii="Arial" w:cs="Arial" w:eastAsia="Arial" w:hAnsi="Arial"/>
          <w:sz w:val="24"/>
          <w:szCs w:val="24"/>
        </w:rPr>
        <w:t xml:space="preserve">Cas-OFFinder and similar tools for ASO off-target prediction</w:t>
      </w:r>
    </w:p>
    <w:p>
      <w:pPr>
        <w:pStyle w:val="ListParagraph"/>
        <w:numPr>
          <w:ilvl w:val="0"/>
          <w:numId w:val="2"/>
        </w:numPr>
      </w:pPr>
      <w:r>
        <w:rPr>
          <w:rFonts w:ascii="Arial" w:cs="Arial" w:eastAsia="Arial" w:hAnsi="Arial"/>
          <w:sz w:val="24"/>
          <w:szCs w:val="24"/>
        </w:rPr>
        <w:t xml:space="preserve">RNAstructure or mfold for target mRNA secondary structure prediction</w:t>
      </w:r>
    </w:p>
    <w:p>
      <w:pPr>
        <w:pStyle w:val="ListParagraph"/>
        <w:numPr>
          <w:ilvl w:val="0"/>
          <w:numId w:val="2"/>
        </w:numPr>
      </w:pPr>
      <w:r>
        <w:rPr>
          <w:rFonts w:ascii="Arial" w:cs="Arial" w:eastAsia="Arial" w:hAnsi="Arial"/>
          <w:sz w:val="24"/>
          <w:szCs w:val="24"/>
        </w:rPr>
        <w:t xml:space="preserve">Geneious or similar for ASO sequence design and feasibility assessment</w:t>
      </w:r>
    </w:p>
    <w:p>
      <w:pPr>
        <w:pStyle w:val="ListParagraph"/>
        <w:numPr>
          <w:ilvl w:val="0"/>
          <w:numId w:val="2"/>
        </w:numPr>
      </w:pPr>
      <w:r>
        <w:rPr>
          <w:rFonts w:ascii="Arial" w:cs="Arial" w:eastAsia="Arial" w:hAnsi="Arial"/>
          <w:sz w:val="24"/>
          <w:szCs w:val="24"/>
        </w:rPr>
        <w:t xml:space="preserve">Published ASO design guidelines (Antisense Pharma, Ionis, Akcea databases)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targets with high Optopatch-knockdown concordance, what are the accessible binding sites in target mRNA for ASO design?</w:t>
      </w:r>
    </w:p>
    <w:p>
      <w:pPr>
        <w:pStyle w:val="ListParagraph"/>
        <w:numPr>
          <w:ilvl w:val="0"/>
          <w:numId w:val="2"/>
        </w:numPr>
      </w:pPr>
      <w:r>
        <w:rPr>
          <w:rFonts w:ascii="Arial" w:cs="Arial" w:eastAsia="Arial" w:hAnsi="Arial"/>
          <w:i/>
          <w:iCs/>
          <w:sz w:val="24"/>
          <w:szCs w:val="24"/>
        </w:rPr>
        <w:t xml:space="preserve">Do predicted ASO sequences have off-target binding potential to other genes, and how severe are predicted off-target effects?</w:t>
      </w:r>
    </w:p>
    <w:p>
      <w:pPr>
        <w:pStyle w:val="ListParagraph"/>
        <w:numPr>
          <w:ilvl w:val="0"/>
          <w:numId w:val="2"/>
        </w:numPr>
      </w:pPr>
      <w:r>
        <w:rPr>
          <w:rFonts w:ascii="Arial" w:cs="Arial" w:eastAsia="Arial" w:hAnsi="Arial"/>
          <w:i/>
          <w:iCs/>
          <w:sz w:val="24"/>
          <w:szCs w:val="24"/>
        </w:rPr>
        <w:t xml:space="preserve">Are there published ASO sequences targeting the candidate genes, and what knockdown efficiencies and phenotypic rescue have been achieved?</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Target druggability assessment for validated targets including sequence characteristics and accessibility scores</w:t>
      </w:r>
    </w:p>
    <w:p>
      <w:pPr>
        <w:pStyle w:val="ListParagraph"/>
        <w:numPr>
          <w:ilvl w:val="0"/>
          <w:numId w:val="2"/>
        </w:numPr>
      </w:pPr>
      <w:r>
        <w:rPr>
          <w:rFonts w:ascii="Arial" w:cs="Arial" w:eastAsia="Arial" w:hAnsi="Arial"/>
          <w:sz w:val="24"/>
          <w:szCs w:val="24"/>
        </w:rPr>
        <w:t xml:space="preserve">ASO sequence design feasibility with predicted off-target profiles and predicted knockdown efficiency</w:t>
      </w:r>
    </w:p>
    <w:p>
      <w:pPr>
        <w:pStyle w:val="ListParagraph"/>
        <w:numPr>
          <w:ilvl w:val="0"/>
          <w:numId w:val="2"/>
        </w:numPr>
      </w:pPr>
      <w:r>
        <w:rPr>
          <w:rFonts w:ascii="Arial" w:cs="Arial" w:eastAsia="Arial" w:hAnsi="Arial"/>
          <w:sz w:val="24"/>
          <w:szCs w:val="24"/>
        </w:rPr>
        <w:t xml:space="preserve">Literature survey of published ASO data for candidate targets and expected therapeutic windows</w:t>
      </w:r>
    </w:p>
    <w:p>
      <w:pPr>
        <w:pStyle w:val="ListParagraph"/>
        <w:numPr>
          <w:ilvl w:val="0"/>
          <w:numId w:val="2"/>
        </w:numPr>
      </w:pPr>
      <w:r>
        <w:rPr>
          <w:rFonts w:ascii="Arial" w:cs="Arial" w:eastAsia="Arial" w:hAnsi="Arial"/>
          <w:sz w:val="24"/>
          <w:szCs w:val="24"/>
        </w:rPr>
        <w:t xml:space="preserve">Ranking of targets by ASO development suitability combining validation score with druggability metrics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ASO target feasibility spreadsheet with druggability scores, off-target analysis, design recommendations, and development suitability rankings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target engagement and assess functional redundancy or compensatory pathway activation with genetic knockdown.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Candidate ASO targets from Stage 3 with validated Optopatch rescue correlation</w:t>
      </w:r>
    </w:p>
    <w:p>
      <w:pPr>
        <w:pStyle w:val="ListParagraph"/>
        <w:numPr>
          <w:ilvl w:val="0"/>
          <w:numId w:val="2"/>
        </w:numPr>
      </w:pPr>
      <w:r>
        <w:rPr>
          <w:rFonts w:ascii="Arial" w:cs="Arial" w:eastAsia="Arial" w:hAnsi="Arial"/>
          <w:sz w:val="24"/>
          <w:szCs w:val="24"/>
        </w:rPr>
        <w:t xml:space="preserve">Gene expression analysis (RNA-seq) from Angelini CRISPRn experiments measuring compensatory gene expression</w:t>
      </w:r>
    </w:p>
    <w:p>
      <w:pPr>
        <w:pStyle w:val="ListParagraph"/>
        <w:numPr>
          <w:ilvl w:val="0"/>
          <w:numId w:val="2"/>
        </w:numPr>
      </w:pPr>
      <w:r>
        <w:rPr>
          <w:rFonts w:ascii="Arial" w:cs="Arial" w:eastAsia="Arial" w:hAnsi="Arial"/>
          <w:sz w:val="24"/>
          <w:szCs w:val="24"/>
        </w:rPr>
        <w:t xml:space="preserve">Pathway and protein interaction databases (STRING, KEGG, Reactome) for redundancy assessment</w:t>
      </w:r>
    </w:p>
    <w:p>
      <w:pPr>
        <w:pStyle w:val="ListParagraph"/>
        <w:numPr>
          <w:ilvl w:val="0"/>
          <w:numId w:val="2"/>
        </w:numPr>
      </w:pPr>
      <w:r>
        <w:rPr>
          <w:rFonts w:ascii="Arial" w:cs="Arial" w:eastAsia="Arial" w:hAnsi="Arial"/>
          <w:sz w:val="24"/>
          <w:szCs w:val="24"/>
        </w:rPr>
        <w:t xml:space="preserve">Published studies on genetic compensation and feedback mechanisms for candidate targets</w:t>
      </w:r>
    </w:p>
    <w:p>
      <w:pPr>
        <w:pStyle w:val="ListParagraph"/>
        <w:numPr>
          <w:ilvl w:val="0"/>
          <w:numId w:val="2"/>
        </w:numPr>
      </w:pPr>
      <w:r>
        <w:rPr>
          <w:rFonts w:ascii="Arial" w:cs="Arial" w:eastAsia="Arial" w:hAnsi="Arial"/>
          <w:sz w:val="24"/>
          <w:szCs w:val="24"/>
        </w:rPr>
        <w:t xml:space="preserve">Functional cluster biology describing essential genes vs. those with redundant functions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RNA-seq analysis pipelines (HISAT2, StringTie, DESeq2) for gene expression quantification</w:t>
      </w:r>
    </w:p>
    <w:p>
      <w:pPr>
        <w:pStyle w:val="ListParagraph"/>
        <w:numPr>
          <w:ilvl w:val="0"/>
          <w:numId w:val="2"/>
        </w:numPr>
      </w:pPr>
      <w:r>
        <w:rPr>
          <w:rFonts w:ascii="Arial" w:cs="Arial" w:eastAsia="Arial" w:hAnsi="Arial"/>
          <w:sz w:val="24"/>
          <w:szCs w:val="24"/>
        </w:rPr>
        <w:t xml:space="preserve">Pathway analysis tools (GSEA, DAVID, Ingenuity IPA) for compensatory pathway identification</w:t>
      </w:r>
    </w:p>
    <w:p>
      <w:pPr>
        <w:pStyle w:val="ListParagraph"/>
        <w:numPr>
          <w:ilvl w:val="0"/>
          <w:numId w:val="2"/>
        </w:numPr>
      </w:pPr>
      <w:r>
        <w:rPr>
          <w:rFonts w:ascii="Arial" w:cs="Arial" w:eastAsia="Arial" w:hAnsi="Arial"/>
          <w:sz w:val="24"/>
          <w:szCs w:val="24"/>
        </w:rPr>
        <w:t xml:space="preserve">STRING and KEGG for protein interaction and pathway context</w:t>
      </w:r>
    </w:p>
    <w:p>
      <w:pPr>
        <w:pStyle w:val="ListParagraph"/>
        <w:numPr>
          <w:ilvl w:val="0"/>
          <w:numId w:val="2"/>
        </w:numPr>
      </w:pPr>
      <w:r>
        <w:rPr>
          <w:rFonts w:ascii="Arial" w:cs="Arial" w:eastAsia="Arial" w:hAnsi="Arial"/>
          <w:sz w:val="24"/>
          <w:szCs w:val="24"/>
        </w:rPr>
        <w:t xml:space="preserve">REACTOME for pathway redundancy and feedback mechanism analysis</w:t>
      </w:r>
    </w:p>
    <w:p>
      <w:pPr>
        <w:pStyle w:val="ListParagraph"/>
        <w:numPr>
          <w:ilvl w:val="0"/>
          <w:numId w:val="2"/>
        </w:numPr>
      </w:pPr>
      <w:r>
        <w:rPr>
          <w:rFonts w:ascii="Arial" w:cs="Arial" w:eastAsia="Arial" w:hAnsi="Arial"/>
          <w:sz w:val="24"/>
          <w:szCs w:val="24"/>
        </w:rPr>
        <w:t xml:space="preserve">R packages for network analysis and gene correlation (igraph, ggraph)</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When candidate ASO targets are knocked down, do compensatory genes become upregulated, potentially limiting therapeutic efficacy?</w:t>
      </w:r>
    </w:p>
    <w:p>
      <w:pPr>
        <w:pStyle w:val="ListParagraph"/>
        <w:numPr>
          <w:ilvl w:val="0"/>
          <w:numId w:val="2"/>
        </w:numPr>
      </w:pPr>
      <w:r>
        <w:rPr>
          <w:rFonts w:ascii="Arial" w:cs="Arial" w:eastAsia="Arial" w:hAnsi="Arial"/>
          <w:i/>
          <w:iCs/>
          <w:sz w:val="24"/>
          <w:szCs w:val="24"/>
        </w:rPr>
        <w:t xml:space="preserve">Are candidate targets part of redundant genetic pathways where compensation might occur?</w:t>
      </w:r>
    </w:p>
    <w:p>
      <w:pPr>
        <w:pStyle w:val="ListParagraph"/>
        <w:numPr>
          <w:ilvl w:val="0"/>
          <w:numId w:val="2"/>
        </w:numPr>
      </w:pPr>
      <w:r>
        <w:rPr>
          <w:rFonts w:ascii="Arial" w:cs="Arial" w:eastAsia="Arial" w:hAnsi="Arial"/>
          <w:i/>
          <w:iCs/>
          <w:sz w:val="24"/>
          <w:szCs w:val="24"/>
        </w:rPr>
        <w:t xml:space="preserve">What is the published evidence for genetic compensation or feedback regulation of candidate ASO targets?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Compensatory pathway analysis identifying genes upregulated upon knockdown of each candidate target</w:t>
      </w:r>
    </w:p>
    <w:p>
      <w:pPr>
        <w:pStyle w:val="ListParagraph"/>
        <w:numPr>
          <w:ilvl w:val="0"/>
          <w:numId w:val="2"/>
        </w:numPr>
      </w:pPr>
      <w:r>
        <w:rPr>
          <w:rFonts w:ascii="Arial" w:cs="Arial" w:eastAsia="Arial" w:hAnsi="Arial"/>
          <w:sz w:val="24"/>
          <w:szCs w:val="24"/>
        </w:rPr>
        <w:t xml:space="preserve">Functional redundancy assessment rating candidates by likelihood of genetic compensation mechanisms</w:t>
      </w:r>
    </w:p>
    <w:p>
      <w:pPr>
        <w:pStyle w:val="ListParagraph"/>
        <w:numPr>
          <w:ilvl w:val="0"/>
          <w:numId w:val="2"/>
        </w:numPr>
      </w:pPr>
      <w:r>
        <w:rPr>
          <w:rFonts w:ascii="Arial" w:cs="Arial" w:eastAsia="Arial" w:hAnsi="Arial"/>
          <w:sz w:val="24"/>
          <w:szCs w:val="24"/>
        </w:rPr>
        <w:t xml:space="preserve">Literature summary of published studies documenting genetic compensation for candidate targets</w:t>
      </w:r>
    </w:p>
    <w:p>
      <w:pPr>
        <w:pStyle w:val="ListParagraph"/>
        <w:numPr>
          <w:ilvl w:val="0"/>
          <w:numId w:val="2"/>
        </w:numPr>
      </w:pPr>
      <w:r>
        <w:rPr>
          <w:rFonts w:ascii="Arial" w:cs="Arial" w:eastAsia="Arial" w:hAnsi="Arial"/>
          <w:sz w:val="24"/>
          <w:szCs w:val="24"/>
        </w:rPr>
        <w:t xml:space="preserve">Risk assessment for long-term efficacy based on compensatory pathway analysis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Pathway analysis report with gene expression changes, redundancy assessments, literature summaries, and compensation risk ratings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ASO target validation and rank candidates for development advancement with recommended ASO designs.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target validation and druggability assessment from Stages 1-4</w:t>
      </w:r>
    </w:p>
    <w:p>
      <w:pPr>
        <w:pStyle w:val="ListParagraph"/>
        <w:numPr>
          <w:ilvl w:val="0"/>
          <w:numId w:val="2"/>
        </w:numPr>
      </w:pPr>
      <w:r>
        <w:rPr>
          <w:rFonts w:ascii="Arial" w:cs="Arial" w:eastAsia="Arial" w:hAnsi="Arial"/>
          <w:sz w:val="24"/>
          <w:szCs w:val="24"/>
        </w:rPr>
        <w:t xml:space="preserve">ASO design specifications including sequence information and off-target predictions</w:t>
      </w:r>
    </w:p>
    <w:p>
      <w:pPr>
        <w:pStyle w:val="ListParagraph"/>
        <w:numPr>
          <w:ilvl w:val="0"/>
          <w:numId w:val="2"/>
        </w:numPr>
      </w:pPr>
      <w:r>
        <w:rPr>
          <w:rFonts w:ascii="Arial" w:cs="Arial" w:eastAsia="Arial" w:hAnsi="Arial"/>
          <w:sz w:val="24"/>
          <w:szCs w:val="24"/>
        </w:rPr>
        <w:t xml:space="preserve">Clinical precedent for ASO development in neurological/epilepsy indications</w:t>
      </w:r>
    </w:p>
    <w:p>
      <w:pPr>
        <w:pStyle w:val="ListParagraph"/>
        <w:numPr>
          <w:ilvl w:val="0"/>
          <w:numId w:val="2"/>
        </w:numPr>
      </w:pPr>
      <w:r>
        <w:rPr>
          <w:rFonts w:ascii="Arial" w:cs="Arial" w:eastAsia="Arial" w:hAnsi="Arial"/>
          <w:sz w:val="24"/>
          <w:szCs w:val="24"/>
        </w:rPr>
        <w:t xml:space="preserve">Regulatory guidance for ASO drug development (FDA, EMA)</w:t>
      </w:r>
    </w:p>
    <w:p>
      <w:pPr>
        <w:pStyle w:val="ListParagraph"/>
        <w:numPr>
          <w:ilvl w:val="0"/>
          <w:numId w:val="2"/>
        </w:numPr>
      </w:pPr>
      <w:r>
        <w:rPr>
          <w:rFonts w:ascii="Arial" w:cs="Arial" w:eastAsia="Arial" w:hAnsi="Arial"/>
          <w:sz w:val="24"/>
          <w:szCs w:val="24"/>
        </w:rPr>
        <w:t xml:space="preserve">Manufacturing and supply chain feasibility for candidate ASO targets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FDA guidance on ASO development and regulatory pathways</w:t>
      </w:r>
    </w:p>
    <w:p>
      <w:pPr>
        <w:pStyle w:val="ListParagraph"/>
        <w:numPr>
          <w:ilvl w:val="0"/>
          <w:numId w:val="2"/>
        </w:numPr>
      </w:pPr>
      <w:r>
        <w:rPr>
          <w:rFonts w:ascii="Arial" w:cs="Arial" w:eastAsia="Arial" w:hAnsi="Arial"/>
          <w:sz w:val="24"/>
          <w:szCs w:val="24"/>
        </w:rPr>
        <w:t xml:space="preserve">Comprehensive review of approved ASO drugs (Spinraza, Eteplirsen, etc.) for development precedent</w:t>
      </w:r>
    </w:p>
    <w:p>
      <w:pPr>
        <w:pStyle w:val="ListParagraph"/>
        <w:numPr>
          <w:ilvl w:val="0"/>
          <w:numId w:val="2"/>
        </w:numPr>
      </w:pPr>
      <w:r>
        <w:rPr>
          <w:rFonts w:ascii="Arial" w:cs="Arial" w:eastAsia="Arial" w:hAnsi="Arial"/>
          <w:sz w:val="24"/>
          <w:szCs w:val="24"/>
        </w:rPr>
        <w:t xml:space="preserve">ASO manufacturing and GMP synthesis feasibility assessment</w:t>
      </w:r>
    </w:p>
    <w:p>
      <w:pPr>
        <w:pStyle w:val="ListParagraph"/>
        <w:numPr>
          <w:ilvl w:val="0"/>
          <w:numId w:val="2"/>
        </w:numPr>
      </w:pPr>
      <w:r>
        <w:rPr>
          <w:rFonts w:ascii="Arial" w:cs="Arial" w:eastAsia="Arial" w:hAnsi="Arial"/>
          <w:sz w:val="24"/>
          <w:szCs w:val="24"/>
        </w:rPr>
        <w:t xml:space="preserve">Clinical trial design templates for genetic targets in rare disease</w:t>
      </w:r>
    </w:p>
    <w:p>
      <w:pPr>
        <w:pStyle w:val="ListParagraph"/>
        <w:numPr>
          <w:ilvl w:val="0"/>
          <w:numId w:val="2"/>
        </w:numPr>
      </w:pPr>
      <w:r>
        <w:rPr>
          <w:rFonts w:ascii="Arial" w:cs="Arial" w:eastAsia="Arial" w:hAnsi="Arial"/>
          <w:sz w:val="24"/>
          <w:szCs w:val="24"/>
        </w:rPr>
        <w:t xml:space="preserve">Regulatory affairs databases for precedent approval decisions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Based on integrated validation scoring, which targets are prioritized for ASO development with which specific ASO sequences?</w:t>
      </w:r>
    </w:p>
    <w:p>
      <w:pPr>
        <w:pStyle w:val="ListParagraph"/>
        <w:numPr>
          <w:ilvl w:val="0"/>
          <w:numId w:val="2"/>
        </w:numPr>
      </w:pPr>
      <w:r>
        <w:rPr>
          <w:rFonts w:ascii="Arial" w:cs="Arial" w:eastAsia="Arial" w:hAnsi="Arial"/>
          <w:i/>
          <w:iCs/>
          <w:sz w:val="24"/>
          <w:szCs w:val="24"/>
        </w:rPr>
        <w:t xml:space="preserve">What is the recommended IND-enabling study package for lead ASO candidates targeting high-priority genes?</w:t>
      </w:r>
    </w:p>
    <w:p>
      <w:pPr>
        <w:pStyle w:val="ListParagraph"/>
        <w:numPr>
          <w:ilvl w:val="0"/>
          <w:numId w:val="2"/>
        </w:numPr>
      </w:pPr>
      <w:r>
        <w:rPr>
          <w:rFonts w:ascii="Arial" w:cs="Arial" w:eastAsia="Arial" w:hAnsi="Arial"/>
          <w:i/>
          <w:iCs/>
          <w:sz w:val="24"/>
          <w:szCs w:val="24"/>
        </w:rPr>
        <w:t xml:space="preserve">How do regulatory pathways differ between targets validated as essential genes vs. those with redundancy risk?</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Prioritized ASO target list with integrated validation-druggability-redundancy scoring</w:t>
      </w:r>
    </w:p>
    <w:p>
      <w:pPr>
        <w:pStyle w:val="ListParagraph"/>
        <w:numPr>
          <w:ilvl w:val="0"/>
          <w:numId w:val="2"/>
        </w:numPr>
      </w:pPr>
      <w:r>
        <w:rPr>
          <w:rFonts w:ascii="Arial" w:cs="Arial" w:eastAsia="Arial" w:hAnsi="Arial"/>
          <w:sz w:val="24"/>
          <w:szCs w:val="24"/>
        </w:rPr>
        <w:t xml:space="preserve">Recommended ASO sequences for top candidates with off-target risk assessments and potency predictions</w:t>
      </w:r>
    </w:p>
    <w:p>
      <w:pPr>
        <w:pStyle w:val="ListParagraph"/>
        <w:numPr>
          <w:ilvl w:val="0"/>
          <w:numId w:val="2"/>
        </w:numPr>
      </w:pPr>
      <w:r>
        <w:rPr>
          <w:rFonts w:ascii="Arial" w:cs="Arial" w:eastAsia="Arial" w:hAnsi="Arial"/>
          <w:sz w:val="24"/>
          <w:szCs w:val="24"/>
        </w:rPr>
        <w:t xml:space="preserve">Development roadmap including IND-enabling studies, manufacturing scale-up, and regulatory strategy</w:t>
      </w:r>
    </w:p>
    <w:p>
      <w:pPr>
        <w:pStyle w:val="ListParagraph"/>
        <w:numPr>
          <w:ilvl w:val="0"/>
          <w:numId w:val="2"/>
        </w:numPr>
      </w:pPr>
      <w:r>
        <w:rPr>
          <w:rFonts w:ascii="Arial" w:cs="Arial" w:eastAsia="Arial" w:hAnsi="Arial"/>
          <w:sz w:val="24"/>
          <w:szCs w:val="24"/>
        </w:rPr>
        <w:t xml:space="preserve">Comparative analysis against other genetic modalities (gene therapy, base editing) if applicable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Executive summary with target rankings, recommended ASO designs, development roadmaps, and regulatory strategy recommendations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detailed ASO development packages and regulatory strategy for lead candidates.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Final prioritized ASO targets and designs from Stage 5</w:t>
      </w:r>
    </w:p>
    <w:p>
      <w:pPr>
        <w:pStyle w:val="ListParagraph"/>
        <w:numPr>
          <w:ilvl w:val="0"/>
          <w:numId w:val="2"/>
        </w:numPr>
      </w:pPr>
      <w:r>
        <w:rPr>
          <w:rFonts w:ascii="Arial" w:cs="Arial" w:eastAsia="Arial" w:hAnsi="Arial"/>
          <w:sz w:val="24"/>
          <w:szCs w:val="24"/>
        </w:rPr>
        <w:t xml:space="preserve">Complete validation datasets and supporting evidence from all prior stages</w:t>
      </w:r>
    </w:p>
    <w:p>
      <w:pPr>
        <w:pStyle w:val="ListParagraph"/>
        <w:numPr>
          <w:ilvl w:val="0"/>
          <w:numId w:val="2"/>
        </w:numPr>
      </w:pPr>
      <w:r>
        <w:rPr>
          <w:rFonts w:ascii="Arial" w:cs="Arial" w:eastAsia="Arial" w:hAnsi="Arial"/>
          <w:sz w:val="24"/>
          <w:szCs w:val="24"/>
        </w:rPr>
        <w:t xml:space="preserve">IND-enabling study requirements from FDA guidance</w:t>
      </w:r>
    </w:p>
    <w:p>
      <w:pPr>
        <w:pStyle w:val="ListParagraph"/>
        <w:numPr>
          <w:ilvl w:val="0"/>
          <w:numId w:val="2"/>
        </w:numPr>
      </w:pPr>
      <w:r>
        <w:rPr>
          <w:rFonts w:ascii="Arial" w:cs="Arial" w:eastAsia="Arial" w:hAnsi="Arial"/>
          <w:sz w:val="24"/>
          <w:szCs w:val="24"/>
        </w:rPr>
        <w:t xml:space="preserve">Manufacturing scale-up and GMP synthesis requirements</w:t>
      </w:r>
    </w:p>
    <w:p>
      <w:pPr>
        <w:pStyle w:val="ListParagraph"/>
        <w:numPr>
          <w:ilvl w:val="0"/>
          <w:numId w:val="2"/>
        </w:numPr>
      </w:pPr>
      <w:r>
        <w:rPr>
          <w:rFonts w:ascii="Arial" w:cs="Arial" w:eastAsia="Arial" w:hAnsi="Arial"/>
          <w:sz w:val="24"/>
          <w:szCs w:val="24"/>
        </w:rPr>
        <w:t xml:space="preserve">Clinical trial design and patient stratification strategies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IND application templates and FDA guidance for ASO development</w:t>
      </w:r>
    </w:p>
    <w:p>
      <w:pPr>
        <w:pStyle w:val="ListParagraph"/>
        <w:numPr>
          <w:ilvl w:val="0"/>
          <w:numId w:val="2"/>
        </w:numPr>
      </w:pPr>
      <w:r>
        <w:rPr>
          <w:rFonts w:ascii="Arial" w:cs="Arial" w:eastAsia="Arial" w:hAnsi="Arial"/>
          <w:sz w:val="24"/>
          <w:szCs w:val="24"/>
        </w:rPr>
        <w:t xml:space="preserve">CMC (Chemistry, Manufacturing, and Controls) guidance for ASO drugs</w:t>
      </w:r>
    </w:p>
    <w:p>
      <w:pPr>
        <w:pStyle w:val="ListParagraph"/>
        <w:numPr>
          <w:ilvl w:val="0"/>
          <w:numId w:val="2"/>
        </w:numPr>
      </w:pPr>
      <w:r>
        <w:rPr>
          <w:rFonts w:ascii="Arial" w:cs="Arial" w:eastAsia="Arial" w:hAnsi="Arial"/>
          <w:sz w:val="24"/>
          <w:szCs w:val="24"/>
        </w:rPr>
        <w:t xml:space="preserve">Nonclinical safety testing requirements (FDA guidance on nonclinical safety evaluation)</w:t>
      </w:r>
    </w:p>
    <w:p>
      <w:pPr>
        <w:pStyle w:val="ListParagraph"/>
        <w:numPr>
          <w:ilvl w:val="0"/>
          <w:numId w:val="2"/>
        </w:numPr>
      </w:pPr>
      <w:r>
        <w:rPr>
          <w:rFonts w:ascii="Arial" w:cs="Arial" w:eastAsia="Arial" w:hAnsi="Arial"/>
          <w:sz w:val="24"/>
          <w:szCs w:val="24"/>
        </w:rPr>
        <w:t xml:space="preserve">Clinical trial protocol development tools and templates</w:t>
      </w:r>
    </w:p>
    <w:p>
      <w:pPr>
        <w:pStyle w:val="ListParagraph"/>
        <w:numPr>
          <w:ilvl w:val="0"/>
          <w:numId w:val="2"/>
        </w:numPr>
      </w:pPr>
      <w:r>
        <w:rPr>
          <w:rFonts w:ascii="Arial" w:cs="Arial" w:eastAsia="Arial" w:hAnsi="Arial"/>
          <w:sz w:val="24"/>
          <w:szCs w:val="24"/>
        </w:rPr>
        <w:t xml:space="preserve">Regulatory submission preparation software (MEDTOX, eCopy)</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the top 3 ASO candidates, what is the minimum nonclinical safety testing package required for IND enablement?</w:t>
      </w:r>
    </w:p>
    <w:p>
      <w:pPr>
        <w:pStyle w:val="ListParagraph"/>
        <w:numPr>
          <w:ilvl w:val="0"/>
          <w:numId w:val="2"/>
        </w:numPr>
      </w:pPr>
      <w:r>
        <w:rPr>
          <w:rFonts w:ascii="Arial" w:cs="Arial" w:eastAsia="Arial" w:hAnsi="Arial"/>
          <w:i/>
          <w:iCs/>
          <w:sz w:val="24"/>
          <w:szCs w:val="24"/>
        </w:rPr>
        <w:t xml:space="preserve">What manufacturing and quality specifications are required for clinical-grade ASO synthesis?</w:t>
      </w:r>
    </w:p>
    <w:p>
      <w:pPr>
        <w:pStyle w:val="ListParagraph"/>
        <w:numPr>
          <w:ilvl w:val="0"/>
          <w:numId w:val="2"/>
        </w:numPr>
      </w:pPr>
      <w:r>
        <w:rPr>
          <w:rFonts w:ascii="Arial" w:cs="Arial" w:eastAsia="Arial" w:hAnsi="Arial"/>
          <w:i/>
          <w:iCs/>
          <w:sz w:val="24"/>
          <w:szCs w:val="24"/>
        </w:rPr>
        <w:t xml:space="preserve">What is the proposed clinical trial design for evaluation of lead ASO candidates in cluster-specific DEE patient populations?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ASO development dossiers with validation summaries, ASO design specifications, and manufacturing approach</w:t>
      </w:r>
    </w:p>
    <w:p>
      <w:pPr>
        <w:pStyle w:val="ListParagraph"/>
        <w:numPr>
          <w:ilvl w:val="0"/>
          <w:numId w:val="2"/>
        </w:numPr>
      </w:pPr>
      <w:r>
        <w:rPr>
          <w:rFonts w:ascii="Arial" w:cs="Arial" w:eastAsia="Arial" w:hAnsi="Arial"/>
          <w:sz w:val="24"/>
          <w:szCs w:val="24"/>
        </w:rPr>
        <w:t xml:space="preserve">IND-enabling study plans including pharmacology, toxicology, and manufacturing scale-up timelines</w:t>
      </w:r>
    </w:p>
    <w:p>
      <w:pPr>
        <w:pStyle w:val="ListParagraph"/>
        <w:numPr>
          <w:ilvl w:val="0"/>
          <w:numId w:val="2"/>
        </w:numPr>
      </w:pPr>
      <w:r>
        <w:rPr>
          <w:rFonts w:ascii="Arial" w:cs="Arial" w:eastAsia="Arial" w:hAnsi="Arial"/>
          <w:sz w:val="24"/>
          <w:szCs w:val="24"/>
        </w:rPr>
        <w:t xml:space="preserve">Clinical trial protocol outlines for Phase 1 and Phase 2 studies with patient stratification and endpoint selection</w:t>
      </w:r>
    </w:p>
    <w:p>
      <w:pPr>
        <w:pStyle w:val="ListParagraph"/>
        <w:numPr>
          <w:ilvl w:val="0"/>
          <w:numId w:val="2"/>
        </w:numPr>
      </w:pPr>
      <w:r>
        <w:rPr>
          <w:rFonts w:ascii="Arial" w:cs="Arial" w:eastAsia="Arial" w:hAnsi="Arial"/>
          <w:sz w:val="24"/>
          <w:szCs w:val="24"/>
        </w:rPr>
        <w:t xml:space="preserve">Regulatory strategy recommendations including FDA pre-IND meetings and accelerated development pathways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Multi-section ASO development packages including validation summaries, study plans, clinical protocols, and regulatory strategy documents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GeneData Screener - high-content screening data management for Optopatch and CRISPRn results integration</w:t>
      </w:r>
    </w:p>
    <w:p>
      <w:pPr>
        <w:pStyle w:val="ListParagraph"/>
        <w:numPr>
          <w:ilvl w:val="0"/>
          <w:numId w:val="2"/>
        </w:numPr>
      </w:pPr>
      <w:r>
        <w:rPr>
          <w:rFonts w:ascii="Arial" w:cs="Arial" w:eastAsia="Arial" w:hAnsi="Arial"/>
          <w:sz w:val="24"/>
          <w:szCs w:val="24"/>
        </w:rPr>
        <w:t xml:space="preserve">Cas-OFFinder - genome-wide off-target prediction for CRISPR guide RNAs and ASO sequences</w:t>
      </w:r>
    </w:p>
    <w:p>
      <w:pPr>
        <w:pStyle w:val="ListParagraph"/>
        <w:numPr>
          <w:ilvl w:val="0"/>
          <w:numId w:val="2"/>
        </w:numPr>
      </w:pPr>
      <w:r>
        <w:rPr>
          <w:rFonts w:ascii="Arial" w:cs="Arial" w:eastAsia="Arial" w:hAnsi="Arial"/>
          <w:sz w:val="24"/>
          <w:szCs w:val="24"/>
        </w:rPr>
        <w:t xml:space="preserve">Bowtie2 - sequence alignment for guide RNA specificity assessment and off-target mapping</w:t>
      </w:r>
    </w:p>
    <w:p>
      <w:pPr>
        <w:pStyle w:val="ListParagraph"/>
        <w:numPr>
          <w:ilvl w:val="0"/>
          <w:numId w:val="2"/>
        </w:numPr>
      </w:pPr>
      <w:r>
        <w:rPr>
          <w:rFonts w:ascii="Arial" w:cs="Arial" w:eastAsia="Arial" w:hAnsi="Arial"/>
          <w:sz w:val="24"/>
          <w:szCs w:val="24"/>
        </w:rPr>
        <w:t xml:space="preserve">qPCR analysis software (LinRegPCR) - CRISPRn knockdown efficiency quantification and validation</w:t>
      </w:r>
    </w:p>
    <w:p>
      <w:pPr>
        <w:pStyle w:val="ListParagraph"/>
        <w:numPr>
          <w:ilvl w:val="0"/>
          <w:numId w:val="2"/>
        </w:numPr>
      </w:pPr>
      <w:r>
        <w:rPr>
          <w:rFonts w:ascii="Arial" w:cs="Arial" w:eastAsia="Arial" w:hAnsi="Arial"/>
          <w:sz w:val="24"/>
          <w:szCs w:val="24"/>
        </w:rPr>
        <w:t xml:space="preserve">DESeq2 - RNA-seq differential expression analysis for compensatory gene identification</w:t>
      </w:r>
    </w:p>
    <w:p>
      <w:pPr>
        <w:pStyle w:val="ListParagraph"/>
        <w:numPr>
          <w:ilvl w:val="0"/>
          <w:numId w:val="2"/>
        </w:numPr>
      </w:pPr>
      <w:r>
        <w:rPr>
          <w:rFonts w:ascii="Arial" w:cs="Arial" w:eastAsia="Arial" w:hAnsi="Arial"/>
          <w:sz w:val="24"/>
          <w:szCs w:val="24"/>
        </w:rPr>
        <w:t xml:space="preserve">STRING - protein interaction database for target redundancy and pathway analysis</w:t>
      </w:r>
    </w:p>
    <w:p>
      <w:pPr>
        <w:pStyle w:val="ListParagraph"/>
        <w:numPr>
          <w:ilvl w:val="0"/>
          <w:numId w:val="2"/>
        </w:numPr>
      </w:pPr>
      <w:r>
        <w:rPr>
          <w:rFonts w:ascii="Arial" w:cs="Arial" w:eastAsia="Arial" w:hAnsi="Arial"/>
          <w:sz w:val="24"/>
          <w:szCs w:val="24"/>
        </w:rPr>
        <w:t xml:space="preserve">KEGG - metabolic and regulatory pathway database for functional redundancy assessment</w:t>
      </w:r>
    </w:p>
    <w:p>
      <w:pPr>
        <w:pStyle w:val="ListParagraph"/>
        <w:numPr>
          <w:ilvl w:val="0"/>
          <w:numId w:val="2"/>
        </w:numPr>
      </w:pPr>
      <w:r>
        <w:rPr>
          <w:rFonts w:ascii="Arial" w:cs="Arial" w:eastAsia="Arial" w:hAnsi="Arial"/>
          <w:sz w:val="24"/>
          <w:szCs w:val="24"/>
        </w:rPr>
        <w:t xml:space="preserve">Reactome - pathway database with mechanism of action and compensation analysis</w:t>
      </w:r>
    </w:p>
    <w:p>
      <w:pPr>
        <w:pStyle w:val="ListParagraph"/>
        <w:numPr>
          <w:ilvl w:val="0"/>
          <w:numId w:val="2"/>
        </w:numPr>
      </w:pPr>
      <w:r>
        <w:rPr>
          <w:rFonts w:ascii="Arial" w:cs="Arial" w:eastAsia="Arial" w:hAnsi="Arial"/>
          <w:sz w:val="24"/>
          <w:szCs w:val="24"/>
        </w:rPr>
        <w:t xml:space="preserve">RNAstructure/mfold - secondary structure prediction for target mRNA and ASO accessibility</w:t>
      </w:r>
    </w:p>
    <w:p>
      <w:pPr>
        <w:pStyle w:val="ListParagraph"/>
        <w:numPr>
          <w:ilvl w:val="0"/>
          <w:numId w:val="2"/>
        </w:numPr>
      </w:pPr>
      <w:r>
        <w:rPr>
          <w:rFonts w:ascii="Arial" w:cs="Arial" w:eastAsia="Arial" w:hAnsi="Arial"/>
          <w:sz w:val="24"/>
          <w:szCs w:val="24"/>
        </w:rPr>
        <w:t xml:space="preserve">Geneious - molecular sequence editor for ASO design and sequence analysis</w:t>
      </w:r>
    </w:p>
    <w:p>
      <w:pPr>
        <w:pStyle w:val="ListParagraph"/>
        <w:numPr>
          <w:ilvl w:val="0"/>
          <w:numId w:val="2"/>
        </w:numPr>
      </w:pPr>
      <w:r>
        <w:rPr>
          <w:rFonts w:ascii="Arial" w:cs="Arial" w:eastAsia="Arial" w:hAnsi="Arial"/>
          <w:sz w:val="24"/>
          <w:szCs w:val="24"/>
        </w:rPr>
        <w:t xml:space="preserve">FDA ASO Guidance Documents - regulatory standards and requirements for ASO drug development</w:t>
      </w:r>
    </w:p>
    <w:p>
      <w:pPr>
        <w:pStyle w:val="ListParagraph"/>
        <w:numPr>
          <w:ilvl w:val="0"/>
          <w:numId w:val="2"/>
        </w:numPr>
      </w:pPr>
      <w:r>
        <w:rPr>
          <w:rFonts w:ascii="Arial" w:cs="Arial" w:eastAsia="Arial" w:hAnsi="Arial"/>
          <w:sz w:val="24"/>
          <w:szCs w:val="24"/>
        </w:rPr>
        <w:t xml:space="preserve">GSEA and DAVID - gene set enrichment and functional annotation for compensatory pathways</w:t>
      </w:r>
    </w:p>
    <w:p>
      <w:pPr>
        <w:pStyle w:val="ListParagraph"/>
        <w:numPr>
          <w:ilvl w:val="0"/>
          <w:numId w:val="2"/>
        </w:numPr>
      </w:pPr>
      <w:r>
        <w:rPr>
          <w:rFonts w:ascii="Arial" w:cs="Arial" w:eastAsia="Arial" w:hAnsi="Arial"/>
          <w:sz w:val="24"/>
          <w:szCs w:val="24"/>
        </w:rPr>
        <w:t xml:space="preserve">Approved ASO Reference Databases - Spinraza, Eteplirsen, Golodirsen for development precedent and design validation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2026-03-25T18:05:13.257Z</dcterms:created>
  <dcterms:modified xsi:type="dcterms:W3CDTF">2026-03-25T18:05:13.257Z</dcterms:modified>
</cp:coreProperties>
</file>

<file path=docProps/custom.xml><?xml version="1.0" encoding="utf-8"?>
<Properties xmlns="http://schemas.openxmlformats.org/officeDocument/2006/custom-properties" xmlns:vt="http://schemas.openxmlformats.org/officeDocument/2006/docPropsVTypes"/>
</file>