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Sapphire Pipeline Workflow #077: Natural History and Clinical Phenotype Profiling from Published DEE Cohorts per Common Node</w:t>
      </w:r>
    </w:p>
    <w:p>
      <w:pPr>
        <w:pStyle w:val="Heading2"/>
      </w:pPr>
      <w:r>
        <w:rPr>
          <w:rFonts w:ascii="Arial" w:cs="Arial" w:eastAsia="Arial" w:hAnsi="Arial"/>
          <w:b/>
          <w:bCs/>
          <w:sz w:val="28"/>
          <w:szCs w:val="28"/>
        </w:rPr>
        <w:t xml:space="preserve">Pipeline Overview</w:t>
      </w:r>
    </w:p>
    <w:p>
      <w:r>
        <w:rPr>
          <w:rFonts w:ascii="Arial" w:cs="Arial" w:eastAsia="Arial" w:hAnsi="Arial"/>
          <w:b/>
          <w:bCs/>
          <w:sz w:val="24"/>
          <w:szCs w:val="24"/>
        </w:rPr>
        <w:t xml:space="preserve">Original Prompt:</w:t>
      </w:r>
    </w:p>
    <w:p>
      <w:pPr>
        <w:spacing w:after="120"/>
      </w:pPr>
      <w:r>
        <w:rPr>
          <w:rFonts w:ascii="Arial" w:cs="Arial" w:eastAsia="Arial" w:hAnsi="Arial"/>
          <w:i/>
          <w:iCs/>
          <w:sz w:val="24"/>
          <w:szCs w:val="24"/>
        </w:rPr>
        <w:t xml:space="preserve">For each Angelini-defined common node, retrieve the natural history data (seizure frequency trajectories, developmental milestones, mortality rates) for associated DEE syndromes from published cohort studies and the ILAE classification to build a clinical phenotype profile per cluster.</w:t>
      </w:r>
    </w:p>
    <w:p>
      <w:r>
        <w:rPr>
          <w:rFonts w:ascii="Arial" w:cs="Arial" w:eastAsia="Arial" w:hAnsi="Arial"/>
          <w:b/>
          <w:bCs/>
          <w:sz w:val="24"/>
          <w:szCs w:val="24"/>
        </w:rPr>
        <w:t xml:space="preserve">Objective:</w:t>
      </w:r>
    </w:p>
    <w:p>
      <w:pPr>
        <w:spacing w:after="120"/>
      </w:pPr>
      <w:r>
        <w:rPr>
          <w:rFonts w:ascii="Arial" w:cs="Arial" w:eastAsia="Arial" w:hAnsi="Arial"/>
          <w:sz w:val="24"/>
          <w:szCs w:val="24"/>
        </w:rPr>
        <w:t xml:space="preserve">Retrieve and synthesize natural history data including seizure frequency trajectories, developmental milestones, and mortality rates for DEE syndromes associated with each Angelini common node from published cohort studies and ILAE classification systems to construct comprehensive clinical phenotype profiles enabling patient stratification.</w:t>
      </w:r>
    </w:p>
    <w:p>
      <w:r>
        <w:rPr>
          <w:rFonts w:ascii="Arial" w:cs="Arial" w:eastAsia="Arial" w:hAnsi="Arial"/>
          <w:b/>
          <w:bCs/>
          <w:sz w:val="24"/>
          <w:szCs w:val="24"/>
        </w:rPr>
        <w:t xml:space="preserve">Pipeline Complexity:</w:t>
      </w:r>
    </w:p>
    <w:p>
      <w:pPr>
        <w:spacing w:after="200"/>
      </w:pPr>
      <w:r>
        <w:rPr>
          <w:rFonts w:ascii="Arial" w:cs="Arial" w:eastAsia="Arial" w:hAnsi="Arial"/>
          <w:sz w:val="24"/>
          <w:szCs w:val="24"/>
        </w:rPr>
        <w:t xml:space="preserve">High - requires systematic literature review, data extraction from diverse clinical studies with varying methodologies and outcome definitions, and synthesis into standardized natural history profiles suitable for clinical trial design and patient prognosis estimation.</w:t>
      </w:r>
    </w:p>
    <w:p>
      <w:pPr>
        <w:pStyle w:val="Heading2"/>
      </w:pPr>
      <w:r>
        <w:rPr>
          <w:rFonts w:ascii="Arial" w:cs="Arial" w:eastAsia="Arial" w:hAnsi="Arial"/>
          <w:b/>
          <w:bCs/>
          <w:sz w:val="28"/>
          <w:szCs w:val="28"/>
        </w:rPr>
        <w:t xml:space="preserve">Stage 1: Data Retrieval &amp; Source Identification</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Conduct systematic literature review to identify published cohort studies and natural history data for DEE syndromes related to Angelini common nodes.</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Angelini common node gene lists with associated DEE syndromes and OMIM disease descriptions</w:t>
      </w:r>
    </w:p>
    <w:p>
      <w:pPr>
        <w:pStyle w:val="ListParagraph"/>
        <w:numPr>
          <w:ilvl w:val="0"/>
          <w:numId w:val="2"/>
        </w:numPr>
      </w:pPr>
      <w:r>
        <w:rPr>
          <w:rFonts w:ascii="Arial" w:cs="Arial" w:eastAsia="Arial" w:hAnsi="Arial"/>
          <w:sz w:val="24"/>
          <w:szCs w:val="24"/>
        </w:rPr>
        <w:t xml:space="preserve">ILAE (International League Against Epilepsy) classification of DEE/developmental and progressive encephalopathy syndromes</w:t>
      </w:r>
    </w:p>
    <w:p>
      <w:pPr>
        <w:pStyle w:val="ListParagraph"/>
        <w:numPr>
          <w:ilvl w:val="0"/>
          <w:numId w:val="2"/>
        </w:numPr>
      </w:pPr>
      <w:r>
        <w:rPr>
          <w:rFonts w:ascii="Arial" w:cs="Arial" w:eastAsia="Arial" w:hAnsi="Arial"/>
          <w:sz w:val="24"/>
          <w:szCs w:val="24"/>
        </w:rPr>
        <w:t xml:space="preserve">PubMed/Scopus search with inclusion criteria for cohort studies and natural history reports</w:t>
      </w:r>
    </w:p>
    <w:p>
      <w:pPr>
        <w:pStyle w:val="ListParagraph"/>
        <w:numPr>
          <w:ilvl w:val="0"/>
          <w:numId w:val="2"/>
        </w:numPr>
      </w:pPr>
      <w:r>
        <w:rPr>
          <w:rFonts w:ascii="Arial" w:cs="Arial" w:eastAsia="Arial" w:hAnsi="Arial"/>
          <w:sz w:val="24"/>
          <w:szCs w:val="24"/>
        </w:rPr>
        <w:t xml:space="preserve">Epilepsy Foundation and rare disease organization literature databases</w:t>
      </w:r>
    </w:p>
    <w:p>
      <w:pPr>
        <w:pStyle w:val="ListParagraph"/>
        <w:numPr>
          <w:ilvl w:val="0"/>
          <w:numId w:val="2"/>
        </w:numPr>
      </w:pPr>
      <w:r>
        <w:rPr>
          <w:rFonts w:ascii="Arial" w:cs="Arial" w:eastAsia="Arial" w:hAnsi="Arial"/>
          <w:sz w:val="24"/>
          <w:szCs w:val="24"/>
        </w:rPr>
        <w:t xml:space="preserve">Clinical trial registries for ongoing DEE cohort studies</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PubMed/MEDLINE with systematic search strategy and filters</w:t>
      </w:r>
    </w:p>
    <w:p>
      <w:pPr>
        <w:pStyle w:val="ListParagraph"/>
        <w:numPr>
          <w:ilvl w:val="0"/>
          <w:numId w:val="2"/>
        </w:numPr>
      </w:pPr>
      <w:r>
        <w:rPr>
          <w:rFonts w:ascii="Arial" w:cs="Arial" w:eastAsia="Arial" w:hAnsi="Arial"/>
          <w:sz w:val="24"/>
          <w:szCs w:val="24"/>
        </w:rPr>
        <w:t xml:space="preserve">Scopus and Web of Science for comprehensive literature coverage</w:t>
      </w:r>
    </w:p>
    <w:p>
      <w:pPr>
        <w:pStyle w:val="ListParagraph"/>
        <w:numPr>
          <w:ilvl w:val="0"/>
          <w:numId w:val="2"/>
        </w:numPr>
      </w:pPr>
      <w:r>
        <w:rPr>
          <w:rFonts w:ascii="Arial" w:cs="Arial" w:eastAsia="Arial" w:hAnsi="Arial"/>
          <w:sz w:val="24"/>
          <w:szCs w:val="24"/>
        </w:rPr>
        <w:t xml:space="preserve">Covidence or DistillerSR for systematic review and study selection</w:t>
      </w:r>
    </w:p>
    <w:p>
      <w:pPr>
        <w:pStyle w:val="ListParagraph"/>
        <w:numPr>
          <w:ilvl w:val="0"/>
          <w:numId w:val="2"/>
        </w:numPr>
      </w:pPr>
      <w:r>
        <w:rPr>
          <w:rFonts w:ascii="Arial" w:cs="Arial" w:eastAsia="Arial" w:hAnsi="Arial"/>
          <w:sz w:val="24"/>
          <w:szCs w:val="24"/>
        </w:rPr>
        <w:t xml:space="preserve">PROSPERO registry for published systematic review protocols</w:t>
      </w:r>
    </w:p>
    <w:p>
      <w:pPr>
        <w:pStyle w:val="ListParagraph"/>
        <w:numPr>
          <w:ilvl w:val="0"/>
          <w:numId w:val="2"/>
        </w:numPr>
      </w:pPr>
      <w:r>
        <w:rPr>
          <w:rFonts w:ascii="Arial" w:cs="Arial" w:eastAsia="Arial" w:hAnsi="Arial"/>
          <w:sz w:val="24"/>
          <w:szCs w:val="24"/>
        </w:rPr>
        <w:t xml:space="preserve">Google Scholar and ResearchGate for grey literature and published abstracts</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What are the published cohort studies describing natural history of DEE syndromes caused by mutations in each Angelini common node gene?</w:t>
      </w:r>
    </w:p>
    <w:p>
      <w:pPr>
        <w:pStyle w:val="ListParagraph"/>
        <w:numPr>
          <w:ilvl w:val="0"/>
          <w:numId w:val="2"/>
        </w:numPr>
      </w:pPr>
      <w:r>
        <w:rPr>
          <w:rFonts w:ascii="Arial" w:cs="Arial" w:eastAsia="Arial" w:hAnsi="Arial"/>
          <w:i/>
          <w:iCs/>
          <w:sz w:val="24"/>
          <w:szCs w:val="24"/>
        </w:rPr>
        <w:t xml:space="preserve">What is the sample size, follow-up duration, and completeness of data for identified studies?</w:t>
      </w:r>
    </w:p>
    <w:p>
      <w:pPr>
        <w:pStyle w:val="ListParagraph"/>
        <w:numPr>
          <w:ilvl w:val="0"/>
          <w:numId w:val="2"/>
        </w:numPr>
      </w:pPr>
      <w:r>
        <w:rPr>
          <w:rFonts w:ascii="Arial" w:cs="Arial" w:eastAsia="Arial" w:hAnsi="Arial"/>
          <w:i/>
          <w:iCs/>
          <w:sz w:val="24"/>
          <w:szCs w:val="24"/>
        </w:rPr>
        <w:t xml:space="preserve">Which studies include quantitative data on seizure frequency, developmental trajectories, mortality, and other clinical outcomes?</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Literature review summary with identified studies, quality assessment, and data extraction tables</w:t>
      </w:r>
    </w:p>
    <w:p>
      <w:pPr>
        <w:pStyle w:val="ListParagraph"/>
        <w:numPr>
          <w:ilvl w:val="0"/>
          <w:numId w:val="2"/>
        </w:numPr>
      </w:pPr>
      <w:r>
        <w:rPr>
          <w:rFonts w:ascii="Arial" w:cs="Arial" w:eastAsia="Arial" w:hAnsi="Arial"/>
          <w:sz w:val="24"/>
          <w:szCs w:val="24"/>
        </w:rPr>
        <w:t xml:space="preserve">Study characteristics including patient numbers, follow-up duration, inclusion criteria, and outcome measures</w:t>
      </w:r>
    </w:p>
    <w:p>
      <w:pPr>
        <w:pStyle w:val="ListParagraph"/>
        <w:numPr>
          <w:ilvl w:val="0"/>
          <w:numId w:val="2"/>
        </w:numPr>
      </w:pPr>
      <w:r>
        <w:rPr>
          <w:rFonts w:ascii="Arial" w:cs="Arial" w:eastAsia="Arial" w:hAnsi="Arial"/>
          <w:sz w:val="24"/>
          <w:szCs w:val="24"/>
        </w:rPr>
        <w:t xml:space="preserve">Data availability assessment for seizure frequency, development, mortality, and comorbidities</w:t>
      </w:r>
    </w:p>
    <w:p>
      <w:pPr>
        <w:pStyle w:val="ListParagraph"/>
        <w:numPr>
          <w:ilvl w:val="0"/>
          <w:numId w:val="2"/>
        </w:numPr>
      </w:pPr>
      <w:r>
        <w:rPr>
          <w:rFonts w:ascii="Arial" w:cs="Arial" w:eastAsia="Arial" w:hAnsi="Arial"/>
          <w:sz w:val="24"/>
          <w:szCs w:val="24"/>
        </w:rPr>
        <w:t xml:space="preserve">Grouped studies by Angelini common node and DEE syndrome for comparative analysis</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Systematic review table with study citations, quality scores, sample sizes, outcome measures, and completeness ratings</w:t>
      </w:r>
    </w:p>
    <w:p>
      <w:pPr>
        <w:pStyle w:val="Heading2"/>
      </w:pPr>
      <w:r>
        <w:rPr>
          <w:rFonts w:ascii="Arial" w:cs="Arial" w:eastAsia="Arial" w:hAnsi="Arial"/>
          <w:b/>
          <w:bCs/>
          <w:sz w:val="28"/>
          <w:szCs w:val="28"/>
        </w:rPr>
        <w:t xml:space="preserve">Stage 2: Data Extraction &amp; Preprocessing</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Extract and standardize quantitative natural history data on seizure characteristics and frequency trajectories per common node.</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Published cohort studies identified in Stage 1</w:t>
      </w:r>
    </w:p>
    <w:p>
      <w:pPr>
        <w:pStyle w:val="ListParagraph"/>
        <w:numPr>
          <w:ilvl w:val="0"/>
          <w:numId w:val="2"/>
        </w:numPr>
      </w:pPr>
      <w:r>
        <w:rPr>
          <w:rFonts w:ascii="Arial" w:cs="Arial" w:eastAsia="Arial" w:hAnsi="Arial"/>
          <w:sz w:val="24"/>
          <w:szCs w:val="24"/>
        </w:rPr>
        <w:t xml:space="preserve">Seizure type classifications and frequency definitions from published studies</w:t>
      </w:r>
    </w:p>
    <w:p>
      <w:pPr>
        <w:pStyle w:val="ListParagraph"/>
        <w:numPr>
          <w:ilvl w:val="0"/>
          <w:numId w:val="2"/>
        </w:numPr>
      </w:pPr>
      <w:r>
        <w:rPr>
          <w:rFonts w:ascii="Arial" w:cs="Arial" w:eastAsia="Arial" w:hAnsi="Arial"/>
          <w:sz w:val="24"/>
          <w:szCs w:val="24"/>
        </w:rPr>
        <w:t xml:space="preserve">Standardized outcome measurement frameworks (seizure freedom definitions, reduction thresholds)</w:t>
      </w:r>
    </w:p>
    <w:p>
      <w:pPr>
        <w:pStyle w:val="ListParagraph"/>
        <w:numPr>
          <w:ilvl w:val="0"/>
          <w:numId w:val="2"/>
        </w:numPr>
      </w:pPr>
      <w:r>
        <w:rPr>
          <w:rFonts w:ascii="Arial" w:cs="Arial" w:eastAsia="Arial" w:hAnsi="Arial"/>
          <w:sz w:val="24"/>
          <w:szCs w:val="24"/>
        </w:rPr>
        <w:t xml:space="preserve">Age at onset, baseline seizure frequency, and time-dependent seizure burden data</w:t>
      </w:r>
    </w:p>
    <w:p>
      <w:pPr>
        <w:pStyle w:val="ListParagraph"/>
        <w:numPr>
          <w:ilvl w:val="0"/>
          <w:numId w:val="2"/>
        </w:numPr>
      </w:pPr>
      <w:r>
        <w:rPr>
          <w:rFonts w:ascii="Arial" w:cs="Arial" w:eastAsia="Arial" w:hAnsi="Arial"/>
          <w:sz w:val="24"/>
          <w:szCs w:val="24"/>
        </w:rPr>
        <w:t xml:space="preserve">Treatment history and medication response information from published reports</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Meta-analysis software (RevMan, Comprehensive Meta-Analysis) for data synthesis</w:t>
      </w:r>
    </w:p>
    <w:p>
      <w:pPr>
        <w:pStyle w:val="ListParagraph"/>
        <w:numPr>
          <w:ilvl w:val="0"/>
          <w:numId w:val="2"/>
        </w:numPr>
      </w:pPr>
      <w:r>
        <w:rPr>
          <w:rFonts w:ascii="Arial" w:cs="Arial" w:eastAsia="Arial" w:hAnsi="Arial"/>
          <w:sz w:val="24"/>
          <w:szCs w:val="24"/>
        </w:rPr>
        <w:t xml:space="preserve">R/Python for data extraction, standardization, and visualization</w:t>
      </w:r>
    </w:p>
    <w:p>
      <w:pPr>
        <w:pStyle w:val="ListParagraph"/>
        <w:numPr>
          <w:ilvl w:val="0"/>
          <w:numId w:val="2"/>
        </w:numPr>
      </w:pPr>
      <w:r>
        <w:rPr>
          <w:rFonts w:ascii="Arial" w:cs="Arial" w:eastAsia="Arial" w:hAnsi="Arial"/>
          <w:sz w:val="24"/>
          <w:szCs w:val="24"/>
        </w:rPr>
        <w:t xml:space="preserve">GRADE methodology for quality assessment of evidence</w:t>
      </w:r>
    </w:p>
    <w:p>
      <w:pPr>
        <w:pStyle w:val="ListParagraph"/>
        <w:numPr>
          <w:ilvl w:val="0"/>
          <w:numId w:val="2"/>
        </w:numPr>
      </w:pPr>
      <w:r>
        <w:rPr>
          <w:rFonts w:ascii="Arial" w:cs="Arial" w:eastAsia="Arial" w:hAnsi="Arial"/>
          <w:sz w:val="24"/>
          <w:szCs w:val="24"/>
        </w:rPr>
        <w:t xml:space="preserve">Systematic review and network meta-analysis packages (metafor, netmeta in R)</w:t>
      </w:r>
    </w:p>
    <w:p>
      <w:pPr>
        <w:pStyle w:val="ListParagraph"/>
        <w:numPr>
          <w:ilvl w:val="0"/>
          <w:numId w:val="2"/>
        </w:numPr>
      </w:pPr>
      <w:r>
        <w:rPr>
          <w:rFonts w:ascii="Arial" w:cs="Arial" w:eastAsia="Arial" w:hAnsi="Arial"/>
          <w:sz w:val="24"/>
          <w:szCs w:val="24"/>
        </w:rPr>
        <w:t xml:space="preserve">Forest plots and meta-analysis visualization tools</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What is the mean or median age at seizure onset for each DEE syndrome/common node combination?</w:t>
      </w:r>
    </w:p>
    <w:p>
      <w:pPr>
        <w:pStyle w:val="ListParagraph"/>
        <w:numPr>
          <w:ilvl w:val="0"/>
          <w:numId w:val="2"/>
        </w:numPr>
      </w:pPr>
      <w:r>
        <w:rPr>
          <w:rFonts w:ascii="Arial" w:cs="Arial" w:eastAsia="Arial" w:hAnsi="Arial"/>
          <w:i/>
          <w:iCs/>
          <w:sz w:val="24"/>
          <w:szCs w:val="24"/>
        </w:rPr>
        <w:t xml:space="preserve">What percentage of patients experience drug-resistant seizures, and what is the temporal pattern of seizure frequency evolution?</w:t>
      </w:r>
    </w:p>
    <w:p>
      <w:pPr>
        <w:pStyle w:val="ListParagraph"/>
        <w:numPr>
          <w:ilvl w:val="0"/>
          <w:numId w:val="2"/>
        </w:numPr>
      </w:pPr>
      <w:r>
        <w:rPr>
          <w:rFonts w:ascii="Arial" w:cs="Arial" w:eastAsia="Arial" w:hAnsi="Arial"/>
          <w:i/>
          <w:iCs/>
          <w:sz w:val="24"/>
          <w:szCs w:val="24"/>
        </w:rPr>
        <w:t xml:space="preserve">Are there distinguishing seizure semiology features characteristic of specific clusters?</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Standardized seizure characteristics table per common node (age of onset, seizure types, frequency distribution)</w:t>
      </w:r>
    </w:p>
    <w:p>
      <w:pPr>
        <w:pStyle w:val="ListParagraph"/>
        <w:numPr>
          <w:ilvl w:val="0"/>
          <w:numId w:val="2"/>
        </w:numPr>
      </w:pPr>
      <w:r>
        <w:rPr>
          <w:rFonts w:ascii="Arial" w:cs="Arial" w:eastAsia="Arial" w:hAnsi="Arial"/>
          <w:sz w:val="24"/>
          <w:szCs w:val="24"/>
        </w:rPr>
        <w:t xml:space="preserve">Seizure trajectory data showing temporal evolution of seizure burden with age or disease duration</w:t>
      </w:r>
    </w:p>
    <w:p>
      <w:pPr>
        <w:pStyle w:val="ListParagraph"/>
        <w:numPr>
          <w:ilvl w:val="0"/>
          <w:numId w:val="2"/>
        </w:numPr>
      </w:pPr>
      <w:r>
        <w:rPr>
          <w:rFonts w:ascii="Arial" w:cs="Arial" w:eastAsia="Arial" w:hAnsi="Arial"/>
          <w:sz w:val="24"/>
          <w:szCs w:val="24"/>
        </w:rPr>
        <w:t xml:space="preserve">Treatment response summaries including drug-resistant seizure prevalence per cluster</w:t>
      </w:r>
    </w:p>
    <w:p>
      <w:pPr>
        <w:pStyle w:val="ListParagraph"/>
        <w:numPr>
          <w:ilvl w:val="0"/>
          <w:numId w:val="2"/>
        </w:numPr>
      </w:pPr>
      <w:r>
        <w:rPr>
          <w:rFonts w:ascii="Arial" w:cs="Arial" w:eastAsia="Arial" w:hAnsi="Arial"/>
          <w:sz w:val="24"/>
          <w:szCs w:val="24"/>
        </w:rPr>
        <w:t xml:space="preserve">Meta-analyzed estimates of key seizure parameters with 95% confidence intervals</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Comprehensive seizure phenotype spreadsheet with standardized metrics, temporal trajectories, and meta-analysis summaries</w:t>
      </w:r>
    </w:p>
    <w:p>
      <w:pPr>
        <w:pStyle w:val="Heading2"/>
      </w:pPr>
      <w:r>
        <w:rPr>
          <w:rFonts w:ascii="Arial" w:cs="Arial" w:eastAsia="Arial" w:hAnsi="Arial"/>
          <w:b/>
          <w:bCs/>
          <w:sz w:val="28"/>
          <w:szCs w:val="28"/>
        </w:rPr>
        <w:t xml:space="preserve">Stage 3: Computational Analysis &amp; Integration</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Synthesize developmental and neurological outcome data to characterize developmental trajectory and prognosis per common node.</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Published cohort studies with developmental outcome data (developmental quotient, IQ, milestone achievement)</w:t>
      </w:r>
    </w:p>
    <w:p>
      <w:pPr>
        <w:pStyle w:val="ListParagraph"/>
        <w:numPr>
          <w:ilvl w:val="0"/>
          <w:numId w:val="2"/>
        </w:numPr>
      </w:pPr>
      <w:r>
        <w:rPr>
          <w:rFonts w:ascii="Arial" w:cs="Arial" w:eastAsia="Arial" w:hAnsi="Arial"/>
          <w:sz w:val="24"/>
          <w:szCs w:val="24"/>
        </w:rPr>
        <w:t xml:space="preserve">Neurodevelopmental assessment tools and scoring systems used in published studies (Bayley Scales, BSID, WISC, etc.)</w:t>
      </w:r>
    </w:p>
    <w:p>
      <w:pPr>
        <w:pStyle w:val="ListParagraph"/>
        <w:numPr>
          <w:ilvl w:val="0"/>
          <w:numId w:val="2"/>
        </w:numPr>
      </w:pPr>
      <w:r>
        <w:rPr>
          <w:rFonts w:ascii="Arial" w:cs="Arial" w:eastAsia="Arial" w:hAnsi="Arial"/>
          <w:sz w:val="24"/>
          <w:szCs w:val="24"/>
        </w:rPr>
        <w:t xml:space="preserve">Age-specific developmental expectations and developmental delay classification criteria</w:t>
      </w:r>
    </w:p>
    <w:p>
      <w:pPr>
        <w:pStyle w:val="ListParagraph"/>
        <w:numPr>
          <w:ilvl w:val="0"/>
          <w:numId w:val="2"/>
        </w:numPr>
      </w:pPr>
      <w:r>
        <w:rPr>
          <w:rFonts w:ascii="Arial" w:cs="Arial" w:eastAsia="Arial" w:hAnsi="Arial"/>
          <w:sz w:val="24"/>
          <w:szCs w:val="24"/>
        </w:rPr>
        <w:t xml:space="preserve">Correlation between seizure control and developmental outcomes if reported</w:t>
      </w:r>
    </w:p>
    <w:p>
      <w:pPr>
        <w:pStyle w:val="ListParagraph"/>
        <w:numPr>
          <w:ilvl w:val="0"/>
          <w:numId w:val="2"/>
        </w:numPr>
      </w:pPr>
      <w:r>
        <w:rPr>
          <w:rFonts w:ascii="Arial" w:cs="Arial" w:eastAsia="Arial" w:hAnsi="Arial"/>
          <w:sz w:val="24"/>
          <w:szCs w:val="24"/>
        </w:rPr>
        <w:t xml:space="preserve">Comorbid conditions including autism, motor deficits, and behavioral problems</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Developmental psychology references for outcome scaling and interpretation</w:t>
      </w:r>
    </w:p>
    <w:p>
      <w:pPr>
        <w:pStyle w:val="ListParagraph"/>
        <w:numPr>
          <w:ilvl w:val="0"/>
          <w:numId w:val="2"/>
        </w:numPr>
      </w:pPr>
      <w:r>
        <w:rPr>
          <w:rFonts w:ascii="Arial" w:cs="Arial" w:eastAsia="Arial" w:hAnsi="Arial"/>
          <w:sz w:val="24"/>
          <w:szCs w:val="24"/>
        </w:rPr>
        <w:t xml:space="preserve">R/Python for developmental trajectory modeling and longitudinal data analysis</w:t>
      </w:r>
    </w:p>
    <w:p>
      <w:pPr>
        <w:pStyle w:val="ListParagraph"/>
        <w:numPr>
          <w:ilvl w:val="0"/>
          <w:numId w:val="2"/>
        </w:numPr>
      </w:pPr>
      <w:r>
        <w:rPr>
          <w:rFonts w:ascii="Arial" w:cs="Arial" w:eastAsia="Arial" w:hAnsi="Arial"/>
          <w:sz w:val="24"/>
          <w:szCs w:val="24"/>
        </w:rPr>
        <w:t xml:space="preserve">LOESS (locally estimated scatterplot smoothing) for natural history trajectory visualization</w:t>
      </w:r>
    </w:p>
    <w:p>
      <w:pPr>
        <w:pStyle w:val="ListParagraph"/>
        <w:numPr>
          <w:ilvl w:val="0"/>
          <w:numId w:val="2"/>
        </w:numPr>
      </w:pPr>
      <w:r>
        <w:rPr>
          <w:rFonts w:ascii="Arial" w:cs="Arial" w:eastAsia="Arial" w:hAnsi="Arial"/>
          <w:sz w:val="24"/>
          <w:szCs w:val="24"/>
        </w:rPr>
        <w:t xml:space="preserve">Mixed effects models for multilevel developmental outcome analysis</w:t>
      </w:r>
    </w:p>
    <w:p>
      <w:pPr>
        <w:pStyle w:val="ListParagraph"/>
        <w:numPr>
          <w:ilvl w:val="0"/>
          <w:numId w:val="2"/>
        </w:numPr>
      </w:pPr>
      <w:r>
        <w:rPr>
          <w:rFonts w:ascii="Arial" w:cs="Arial" w:eastAsia="Arial" w:hAnsi="Arial"/>
          <w:sz w:val="24"/>
          <w:szCs w:val="24"/>
        </w:rPr>
        <w:t xml:space="preserve">Visualization tools for developmental course plotting by age cohort</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What is the typical developmental status at diagnosis and expected developmental trajectory for each common node?</w:t>
      </w:r>
    </w:p>
    <w:p>
      <w:pPr>
        <w:pStyle w:val="ListParagraph"/>
        <w:numPr>
          <w:ilvl w:val="0"/>
          <w:numId w:val="2"/>
        </w:numPr>
      </w:pPr>
      <w:r>
        <w:rPr>
          <w:rFonts w:ascii="Arial" w:cs="Arial" w:eastAsia="Arial" w:hAnsi="Arial"/>
          <w:i/>
          <w:iCs/>
          <w:sz w:val="24"/>
          <w:szCs w:val="24"/>
        </w:rPr>
        <w:t xml:space="preserve">What percentage of patients achieve age-appropriate developmental milestones, and what is the timing of developmental plateau or regression?</w:t>
      </w:r>
    </w:p>
    <w:p>
      <w:pPr>
        <w:pStyle w:val="ListParagraph"/>
        <w:numPr>
          <w:ilvl w:val="0"/>
          <w:numId w:val="2"/>
        </w:numPr>
      </w:pPr>
      <w:r>
        <w:rPr>
          <w:rFonts w:ascii="Arial" w:cs="Arial" w:eastAsia="Arial" w:hAnsi="Arial"/>
          <w:i/>
          <w:iCs/>
          <w:sz w:val="24"/>
          <w:szCs w:val="24"/>
        </w:rPr>
        <w:t xml:space="preserve">Are there specific neurodevelopmental phenotypes (intellectual disability, autism, motor impairment) characteristic of each cluster?</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Developmental outcome summary per common node with baseline status and expected trajectory</w:t>
      </w:r>
    </w:p>
    <w:p>
      <w:pPr>
        <w:pStyle w:val="ListParagraph"/>
        <w:numPr>
          <w:ilvl w:val="0"/>
          <w:numId w:val="2"/>
        </w:numPr>
      </w:pPr>
      <w:r>
        <w:rPr>
          <w:rFonts w:ascii="Arial" w:cs="Arial" w:eastAsia="Arial" w:hAnsi="Arial"/>
          <w:sz w:val="24"/>
          <w:szCs w:val="24"/>
        </w:rPr>
        <w:t xml:space="preserve">Developmental delay prevalence and severity distributions within clusters</w:t>
      </w:r>
    </w:p>
    <w:p>
      <w:pPr>
        <w:pStyle w:val="ListParagraph"/>
        <w:numPr>
          <w:ilvl w:val="0"/>
          <w:numId w:val="2"/>
        </w:numPr>
      </w:pPr>
      <w:r>
        <w:rPr>
          <w:rFonts w:ascii="Arial" w:cs="Arial" w:eastAsia="Arial" w:hAnsi="Arial"/>
          <w:sz w:val="24"/>
          <w:szCs w:val="24"/>
        </w:rPr>
        <w:t xml:space="preserve">Natural history of developmental course including periods of stability vs. regression</w:t>
      </w:r>
    </w:p>
    <w:p>
      <w:pPr>
        <w:pStyle w:val="ListParagraph"/>
        <w:numPr>
          <w:ilvl w:val="0"/>
          <w:numId w:val="2"/>
        </w:numPr>
      </w:pPr>
      <w:r>
        <w:rPr>
          <w:rFonts w:ascii="Arial" w:cs="Arial" w:eastAsia="Arial" w:hAnsi="Arial"/>
          <w:sz w:val="24"/>
          <w:szCs w:val="24"/>
        </w:rPr>
        <w:t xml:space="preserve">Correlation analysis between seizure control and developmental outcomes if data available</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Developmental phenotype spreadsheet with baseline status, trajectory data, milestone achievement, and comorbidity information</w:t>
      </w:r>
    </w:p>
    <w:p>
      <w:pPr>
        <w:pStyle w:val="Heading2"/>
      </w:pPr>
      <w:r>
        <w:rPr>
          <w:rFonts w:ascii="Arial" w:cs="Arial" w:eastAsia="Arial" w:hAnsi="Arial"/>
          <w:b/>
          <w:bCs/>
          <w:sz w:val="28"/>
          <w:szCs w:val="28"/>
        </w:rPr>
        <w:t xml:space="preserve">Stage 4: Cross-Reference Validation &amp; Quality Control</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Extract mortality and survival data to characterize disease severity and life expectancy per common node.</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Published cohort studies reporting mortality, sudden unexpected nocturnal death in epilepsy (SUDEP), and life expectancy</w:t>
      </w:r>
    </w:p>
    <w:p>
      <w:pPr>
        <w:pStyle w:val="ListParagraph"/>
        <w:numPr>
          <w:ilvl w:val="0"/>
          <w:numId w:val="2"/>
        </w:numPr>
      </w:pPr>
      <w:r>
        <w:rPr>
          <w:rFonts w:ascii="Arial" w:cs="Arial" w:eastAsia="Arial" w:hAnsi="Arial"/>
          <w:sz w:val="24"/>
          <w:szCs w:val="24"/>
        </w:rPr>
        <w:t xml:space="preserve">Case reports and case series documenting fatal outcomes and mechanisms of death</w:t>
      </w:r>
    </w:p>
    <w:p>
      <w:pPr>
        <w:pStyle w:val="ListParagraph"/>
        <w:numPr>
          <w:ilvl w:val="0"/>
          <w:numId w:val="2"/>
        </w:numPr>
      </w:pPr>
      <w:r>
        <w:rPr>
          <w:rFonts w:ascii="Arial" w:cs="Arial" w:eastAsia="Arial" w:hAnsi="Arial"/>
          <w:sz w:val="24"/>
          <w:szCs w:val="24"/>
        </w:rPr>
        <w:t xml:space="preserve">Risk factors for mortality in DEE populations (seizure frequency, severity, comorbidities)</w:t>
      </w:r>
    </w:p>
    <w:p>
      <w:pPr>
        <w:pStyle w:val="ListParagraph"/>
        <w:numPr>
          <w:ilvl w:val="0"/>
          <w:numId w:val="2"/>
        </w:numPr>
      </w:pPr>
      <w:r>
        <w:rPr>
          <w:rFonts w:ascii="Arial" w:cs="Arial" w:eastAsia="Arial" w:hAnsi="Arial"/>
          <w:sz w:val="24"/>
          <w:szCs w:val="24"/>
        </w:rPr>
        <w:t xml:space="preserve">SUDEP incidence rates and risk factors specific to DEE subtypes</w:t>
      </w:r>
    </w:p>
    <w:p>
      <w:pPr>
        <w:pStyle w:val="ListParagraph"/>
        <w:numPr>
          <w:ilvl w:val="0"/>
          <w:numId w:val="2"/>
        </w:numPr>
      </w:pPr>
      <w:r>
        <w:rPr>
          <w:rFonts w:ascii="Arial" w:cs="Arial" w:eastAsia="Arial" w:hAnsi="Arial"/>
          <w:sz w:val="24"/>
          <w:szCs w:val="24"/>
        </w:rPr>
        <w:t xml:space="preserve">Life expectancy estimates from population-based cohorts or long-term follow-up studies</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Kaplan-Meier survival analysis software (R survival package, GraphPad Prism)</w:t>
      </w:r>
    </w:p>
    <w:p>
      <w:pPr>
        <w:pStyle w:val="ListParagraph"/>
        <w:numPr>
          <w:ilvl w:val="0"/>
          <w:numId w:val="2"/>
        </w:numPr>
      </w:pPr>
      <w:r>
        <w:rPr>
          <w:rFonts w:ascii="Arial" w:cs="Arial" w:eastAsia="Arial" w:hAnsi="Arial"/>
          <w:sz w:val="24"/>
          <w:szCs w:val="24"/>
        </w:rPr>
        <w:t xml:space="preserve">Cox proportional hazards models for mortality risk factor analysis</w:t>
      </w:r>
    </w:p>
    <w:p>
      <w:pPr>
        <w:pStyle w:val="ListParagraph"/>
        <w:numPr>
          <w:ilvl w:val="0"/>
          <w:numId w:val="2"/>
        </w:numPr>
      </w:pPr>
      <w:r>
        <w:rPr>
          <w:rFonts w:ascii="Arial" w:cs="Arial" w:eastAsia="Arial" w:hAnsi="Arial"/>
          <w:sz w:val="24"/>
          <w:szCs w:val="24"/>
        </w:rPr>
        <w:t xml:space="preserve">Meta-analysis of mortality rates and SUDEP incidence across studies</w:t>
      </w:r>
    </w:p>
    <w:p>
      <w:pPr>
        <w:pStyle w:val="ListParagraph"/>
        <w:numPr>
          <w:ilvl w:val="0"/>
          <w:numId w:val="2"/>
        </w:numPr>
      </w:pPr>
      <w:r>
        <w:rPr>
          <w:rFonts w:ascii="Arial" w:cs="Arial" w:eastAsia="Arial" w:hAnsi="Arial"/>
          <w:sz w:val="24"/>
          <w:szCs w:val="24"/>
        </w:rPr>
        <w:t xml:space="preserve">Competing risks analysis for different causes of death</w:t>
      </w:r>
    </w:p>
    <w:p>
      <w:pPr>
        <w:pStyle w:val="ListParagraph"/>
        <w:numPr>
          <w:ilvl w:val="0"/>
          <w:numId w:val="2"/>
        </w:numPr>
      </w:pPr>
      <w:r>
        <w:rPr>
          <w:rFonts w:ascii="Arial" w:cs="Arial" w:eastAsia="Arial" w:hAnsi="Arial"/>
          <w:sz w:val="24"/>
          <w:szCs w:val="24"/>
        </w:rPr>
        <w:t xml:space="preserve">Actuarial life table construction for life expectancy estimation</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What is the reported mortality rate and median age at death for DEE syndromes within each common node?</w:t>
      </w:r>
    </w:p>
    <w:p>
      <w:pPr>
        <w:pStyle w:val="ListParagraph"/>
        <w:numPr>
          <w:ilvl w:val="0"/>
          <w:numId w:val="2"/>
        </w:numPr>
      </w:pPr>
      <w:r>
        <w:rPr>
          <w:rFonts w:ascii="Arial" w:cs="Arial" w:eastAsia="Arial" w:hAnsi="Arial"/>
          <w:i/>
          <w:iCs/>
          <w:sz w:val="24"/>
          <w:szCs w:val="24"/>
        </w:rPr>
        <w:t xml:space="preserve">What is the SUDEP incidence per 100 patient-years, and how does this compare across different clusters?</w:t>
      </w:r>
    </w:p>
    <w:p>
      <w:pPr>
        <w:pStyle w:val="ListParagraph"/>
        <w:numPr>
          <w:ilvl w:val="0"/>
          <w:numId w:val="2"/>
        </w:numPr>
      </w:pPr>
      <w:r>
        <w:rPr>
          <w:rFonts w:ascii="Arial" w:cs="Arial" w:eastAsia="Arial" w:hAnsi="Arial"/>
          <w:i/>
          <w:iCs/>
          <w:sz w:val="24"/>
          <w:szCs w:val="24"/>
        </w:rPr>
        <w:t xml:space="preserve">Are there identified risk factors for mortality that could facilitate risk stratification within each cluster?</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Mortality and life expectancy summary per common node with 95% confidence intervals</w:t>
      </w:r>
    </w:p>
    <w:p>
      <w:pPr>
        <w:pStyle w:val="ListParagraph"/>
        <w:numPr>
          <w:ilvl w:val="0"/>
          <w:numId w:val="2"/>
        </w:numPr>
      </w:pPr>
      <w:r>
        <w:rPr>
          <w:rFonts w:ascii="Arial" w:cs="Arial" w:eastAsia="Arial" w:hAnsi="Arial"/>
          <w:sz w:val="24"/>
          <w:szCs w:val="24"/>
        </w:rPr>
        <w:t xml:space="preserve">SUDEP incidence rates and risk factor analysis for each cluster</w:t>
      </w:r>
    </w:p>
    <w:p>
      <w:pPr>
        <w:pStyle w:val="ListParagraph"/>
        <w:numPr>
          <w:ilvl w:val="0"/>
          <w:numId w:val="2"/>
        </w:numPr>
      </w:pPr>
      <w:r>
        <w:rPr>
          <w:rFonts w:ascii="Arial" w:cs="Arial" w:eastAsia="Arial" w:hAnsi="Arial"/>
          <w:sz w:val="24"/>
          <w:szCs w:val="24"/>
        </w:rPr>
        <w:t xml:space="preserve">Causes of death distribution including SUDEP, status epilepticus, and comorbidity-related deaths</w:t>
      </w:r>
    </w:p>
    <w:p>
      <w:pPr>
        <w:pStyle w:val="ListParagraph"/>
        <w:numPr>
          <w:ilvl w:val="0"/>
          <w:numId w:val="2"/>
        </w:numPr>
      </w:pPr>
      <w:r>
        <w:rPr>
          <w:rFonts w:ascii="Arial" w:cs="Arial" w:eastAsia="Arial" w:hAnsi="Arial"/>
          <w:sz w:val="24"/>
          <w:szCs w:val="24"/>
        </w:rPr>
        <w:t xml:space="preserve">Prognostic factors and mortality risk stratification tools per cluster</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Survival analysis spreadsheet with mortality rates, SUDEP incidence, hazard ratios for risk factors, and life expectancy estimates</w:t>
      </w:r>
    </w:p>
    <w:p>
      <w:pPr>
        <w:pStyle w:val="Heading2"/>
      </w:pPr>
      <w:r>
        <w:rPr>
          <w:rFonts w:ascii="Arial" w:cs="Arial" w:eastAsia="Arial" w:hAnsi="Arial"/>
          <w:b/>
          <w:bCs/>
          <w:sz w:val="28"/>
          <w:szCs w:val="28"/>
        </w:rPr>
        <w:t xml:space="preserve">Stage 5: Synthesis &amp; Interpretation</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Integrate all natural history data into comprehensive clinical phenotype profiles and ILAE-aligned syndrome descriptions.</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Seizure characteristics from Stage 2</w:t>
      </w:r>
    </w:p>
    <w:p>
      <w:pPr>
        <w:pStyle w:val="ListParagraph"/>
        <w:numPr>
          <w:ilvl w:val="0"/>
          <w:numId w:val="2"/>
        </w:numPr>
      </w:pPr>
      <w:r>
        <w:rPr>
          <w:rFonts w:ascii="Arial" w:cs="Arial" w:eastAsia="Arial" w:hAnsi="Arial"/>
          <w:sz w:val="24"/>
          <w:szCs w:val="24"/>
        </w:rPr>
        <w:t xml:space="preserve">Developmental outcomes from Stage 3</w:t>
      </w:r>
    </w:p>
    <w:p>
      <w:pPr>
        <w:pStyle w:val="ListParagraph"/>
        <w:numPr>
          <w:ilvl w:val="0"/>
          <w:numId w:val="2"/>
        </w:numPr>
      </w:pPr>
      <w:r>
        <w:rPr>
          <w:rFonts w:ascii="Arial" w:cs="Arial" w:eastAsia="Arial" w:hAnsi="Arial"/>
          <w:sz w:val="24"/>
          <w:szCs w:val="24"/>
        </w:rPr>
        <w:t xml:space="preserve">Mortality and life expectancy data from Stage 4</w:t>
      </w:r>
    </w:p>
    <w:p>
      <w:pPr>
        <w:pStyle w:val="ListParagraph"/>
        <w:numPr>
          <w:ilvl w:val="0"/>
          <w:numId w:val="2"/>
        </w:numPr>
      </w:pPr>
      <w:r>
        <w:rPr>
          <w:rFonts w:ascii="Arial" w:cs="Arial" w:eastAsia="Arial" w:hAnsi="Arial"/>
          <w:sz w:val="24"/>
          <w:szCs w:val="24"/>
        </w:rPr>
        <w:t xml:space="preserve">ILAE classification system and syndrome definitions</w:t>
      </w:r>
    </w:p>
    <w:p>
      <w:pPr>
        <w:pStyle w:val="ListParagraph"/>
        <w:numPr>
          <w:ilvl w:val="0"/>
          <w:numId w:val="2"/>
        </w:numPr>
      </w:pPr>
      <w:r>
        <w:rPr>
          <w:rFonts w:ascii="Arial" w:cs="Arial" w:eastAsia="Arial" w:hAnsi="Arial"/>
          <w:sz w:val="24"/>
          <w:szCs w:val="24"/>
        </w:rPr>
        <w:t xml:space="preserve">Age-specific clinical manifestations and disease progression patterns</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ILAE classification documentation and guidelines</w:t>
      </w:r>
    </w:p>
    <w:p>
      <w:pPr>
        <w:pStyle w:val="ListParagraph"/>
        <w:numPr>
          <w:ilvl w:val="0"/>
          <w:numId w:val="2"/>
        </w:numPr>
      </w:pPr>
      <w:r>
        <w:rPr>
          <w:rFonts w:ascii="Arial" w:cs="Arial" w:eastAsia="Arial" w:hAnsi="Arial"/>
          <w:sz w:val="24"/>
          <w:szCs w:val="24"/>
        </w:rPr>
        <w:t xml:space="preserve">Phenotype standardization frameworks for rare genetic disorders</w:t>
      </w:r>
    </w:p>
    <w:p>
      <w:pPr>
        <w:pStyle w:val="ListParagraph"/>
        <w:numPr>
          <w:ilvl w:val="0"/>
          <w:numId w:val="2"/>
        </w:numPr>
      </w:pPr>
      <w:r>
        <w:rPr>
          <w:rFonts w:ascii="Arial" w:cs="Arial" w:eastAsia="Arial" w:hAnsi="Arial"/>
          <w:sz w:val="24"/>
          <w:szCs w:val="24"/>
        </w:rPr>
        <w:t xml:space="preserve">Clinical trial inclusion/exclusion criteria development</w:t>
      </w:r>
    </w:p>
    <w:p>
      <w:pPr>
        <w:pStyle w:val="ListParagraph"/>
        <w:numPr>
          <w:ilvl w:val="0"/>
          <w:numId w:val="2"/>
        </w:numPr>
      </w:pPr>
      <w:r>
        <w:rPr>
          <w:rFonts w:ascii="Arial" w:cs="Arial" w:eastAsia="Arial" w:hAnsi="Arial"/>
          <w:sz w:val="24"/>
          <w:szCs w:val="24"/>
        </w:rPr>
        <w:t xml:space="preserve">Natural language processing tools for syndrome definition synthesis</w:t>
      </w:r>
    </w:p>
    <w:p>
      <w:pPr>
        <w:pStyle w:val="ListParagraph"/>
        <w:numPr>
          <w:ilvl w:val="0"/>
          <w:numId w:val="2"/>
        </w:numPr>
      </w:pPr>
      <w:r>
        <w:rPr>
          <w:rFonts w:ascii="Arial" w:cs="Arial" w:eastAsia="Arial" w:hAnsi="Arial"/>
          <w:sz w:val="24"/>
          <w:szCs w:val="24"/>
        </w:rPr>
        <w:t xml:space="preserve">Expert consensus methodologies (Delphi method) for phenotype refinement</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How can the natural history data be synthesized into a single clinical phenotype profile for each common node?</w:t>
      </w:r>
    </w:p>
    <w:p>
      <w:pPr>
        <w:pStyle w:val="ListParagraph"/>
        <w:numPr>
          <w:ilvl w:val="0"/>
          <w:numId w:val="2"/>
        </w:numPr>
      </w:pPr>
      <w:r>
        <w:rPr>
          <w:rFonts w:ascii="Arial" w:cs="Arial" w:eastAsia="Arial" w:hAnsi="Arial"/>
          <w:i/>
          <w:iCs/>
          <w:sz w:val="24"/>
          <w:szCs w:val="24"/>
        </w:rPr>
        <w:t xml:space="preserve">What are the defining features that distinguish each cluster phenotypically from other clusters?</w:t>
      </w:r>
    </w:p>
    <w:p>
      <w:pPr>
        <w:pStyle w:val="ListParagraph"/>
        <w:numPr>
          <w:ilvl w:val="0"/>
          <w:numId w:val="2"/>
        </w:numPr>
      </w:pPr>
      <w:r>
        <w:rPr>
          <w:rFonts w:ascii="Arial" w:cs="Arial" w:eastAsia="Arial" w:hAnsi="Arial"/>
          <w:i/>
          <w:iCs/>
          <w:sz w:val="24"/>
          <w:szCs w:val="24"/>
        </w:rPr>
        <w:t xml:space="preserve">How would these phenotype profiles guide clinical trial patient stratification and inclusion criteria?</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Comprehensive clinical phenotype profiles per common node integrating seizure, developmental, and outcome data</w:t>
      </w:r>
    </w:p>
    <w:p>
      <w:pPr>
        <w:pStyle w:val="ListParagraph"/>
        <w:numPr>
          <w:ilvl w:val="0"/>
          <w:numId w:val="2"/>
        </w:numPr>
      </w:pPr>
      <w:r>
        <w:rPr>
          <w:rFonts w:ascii="Arial" w:cs="Arial" w:eastAsia="Arial" w:hAnsi="Arial"/>
          <w:sz w:val="24"/>
          <w:szCs w:val="24"/>
        </w:rPr>
        <w:t xml:space="preserve">ILAE-aligned syndrome descriptions with characteristic features and diagnostic criteria</w:t>
      </w:r>
    </w:p>
    <w:p>
      <w:pPr>
        <w:pStyle w:val="ListParagraph"/>
        <w:numPr>
          <w:ilvl w:val="0"/>
          <w:numId w:val="2"/>
        </w:numPr>
      </w:pPr>
      <w:r>
        <w:rPr>
          <w:rFonts w:ascii="Arial" w:cs="Arial" w:eastAsia="Arial" w:hAnsi="Arial"/>
          <w:sz w:val="24"/>
          <w:szCs w:val="24"/>
        </w:rPr>
        <w:t xml:space="preserve">Age-specific clinical manifestations and expected disease course summaries</w:t>
      </w:r>
    </w:p>
    <w:p>
      <w:pPr>
        <w:pStyle w:val="ListParagraph"/>
        <w:numPr>
          <w:ilvl w:val="0"/>
          <w:numId w:val="2"/>
        </w:numPr>
      </w:pPr>
      <w:r>
        <w:rPr>
          <w:rFonts w:ascii="Arial" w:cs="Arial" w:eastAsia="Arial" w:hAnsi="Arial"/>
          <w:sz w:val="24"/>
          <w:szCs w:val="24"/>
        </w:rPr>
        <w:t xml:space="preserve">Phenotypic discriminators enabling differential diagnosis and patient stratification</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Clinical phenotype summaries with standardized descriptions, age-specific features, diagnostic criteria, and disease trajectories</w:t>
      </w:r>
    </w:p>
    <w:p>
      <w:pPr>
        <w:pStyle w:val="Heading2"/>
      </w:pPr>
      <w:r>
        <w:rPr>
          <w:rFonts w:ascii="Arial" w:cs="Arial" w:eastAsia="Arial" w:hAnsi="Arial"/>
          <w:b/>
          <w:bCs/>
          <w:sz w:val="28"/>
          <w:szCs w:val="28"/>
        </w:rPr>
        <w:t xml:space="preserve">Stage 6: Output Generation &amp; Delivery</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Generate clinical trial design frameworks and patient stratification algorithms based on natural history phenotype profiles.</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Finalized clinical phenotype profiles from Stage 5</w:t>
      </w:r>
    </w:p>
    <w:p>
      <w:pPr>
        <w:pStyle w:val="ListParagraph"/>
        <w:numPr>
          <w:ilvl w:val="0"/>
          <w:numId w:val="2"/>
        </w:numPr>
      </w:pPr>
      <w:r>
        <w:rPr>
          <w:rFonts w:ascii="Arial" w:cs="Arial" w:eastAsia="Arial" w:hAnsi="Arial"/>
          <w:sz w:val="24"/>
          <w:szCs w:val="24"/>
        </w:rPr>
        <w:t xml:space="preserve">Clinical trial design considerations for rare disease development</w:t>
      </w:r>
    </w:p>
    <w:p>
      <w:pPr>
        <w:pStyle w:val="ListParagraph"/>
        <w:numPr>
          <w:ilvl w:val="0"/>
          <w:numId w:val="2"/>
        </w:numPr>
      </w:pPr>
      <w:r>
        <w:rPr>
          <w:rFonts w:ascii="Arial" w:cs="Arial" w:eastAsia="Arial" w:hAnsi="Arial"/>
          <w:sz w:val="24"/>
          <w:szCs w:val="24"/>
        </w:rPr>
        <w:t xml:space="preserve">Outcome selection and measurement endpoints based on natural history data</w:t>
      </w:r>
    </w:p>
    <w:p>
      <w:pPr>
        <w:pStyle w:val="ListParagraph"/>
        <w:numPr>
          <w:ilvl w:val="0"/>
          <w:numId w:val="2"/>
        </w:numPr>
      </w:pPr>
      <w:r>
        <w:rPr>
          <w:rFonts w:ascii="Arial" w:cs="Arial" w:eastAsia="Arial" w:hAnsi="Arial"/>
          <w:sz w:val="24"/>
          <w:szCs w:val="24"/>
        </w:rPr>
        <w:t xml:space="preserve">Patient population heterogeneity within clusters and subgrouping criteria</w:t>
      </w:r>
    </w:p>
    <w:p>
      <w:pPr>
        <w:pStyle w:val="ListParagraph"/>
        <w:numPr>
          <w:ilvl w:val="0"/>
          <w:numId w:val="2"/>
        </w:numPr>
      </w:pPr>
      <w:r>
        <w:rPr>
          <w:rFonts w:ascii="Arial" w:cs="Arial" w:eastAsia="Arial" w:hAnsi="Arial"/>
          <w:sz w:val="24"/>
          <w:szCs w:val="24"/>
        </w:rPr>
        <w:t xml:space="preserve">Published clinical trial protocols for similar DEE indications</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Clinical trial protocol templates and design guidance documents</w:t>
      </w:r>
    </w:p>
    <w:p>
      <w:pPr>
        <w:pStyle w:val="ListParagraph"/>
        <w:numPr>
          <w:ilvl w:val="0"/>
          <w:numId w:val="2"/>
        </w:numPr>
      </w:pPr>
      <w:r>
        <w:rPr>
          <w:rFonts w:ascii="Arial" w:cs="Arial" w:eastAsia="Arial" w:hAnsi="Arial"/>
          <w:sz w:val="24"/>
          <w:szCs w:val="24"/>
        </w:rPr>
        <w:t xml:space="preserve">FDA guidance on natural history controls and outcome selection for rare disease trials</w:t>
      </w:r>
    </w:p>
    <w:p>
      <w:pPr>
        <w:pStyle w:val="ListParagraph"/>
        <w:numPr>
          <w:ilvl w:val="0"/>
          <w:numId w:val="2"/>
        </w:numPr>
      </w:pPr>
      <w:r>
        <w:rPr>
          <w:rFonts w:ascii="Arial" w:cs="Arial" w:eastAsia="Arial" w:hAnsi="Arial"/>
          <w:sz w:val="24"/>
          <w:szCs w:val="24"/>
        </w:rPr>
        <w:t xml:space="preserve">Endpoint selection frameworks (FDA-qualified endpoints for epilepsy)</w:t>
      </w:r>
    </w:p>
    <w:p>
      <w:pPr>
        <w:pStyle w:val="ListParagraph"/>
        <w:numPr>
          <w:ilvl w:val="0"/>
          <w:numId w:val="2"/>
        </w:numPr>
      </w:pPr>
      <w:r>
        <w:rPr>
          <w:rFonts w:ascii="Arial" w:cs="Arial" w:eastAsia="Arial" w:hAnsi="Arial"/>
          <w:sz w:val="24"/>
          <w:szCs w:val="24"/>
        </w:rPr>
        <w:t xml:space="preserve">Patient stratification and biomarker-driven trial design methodologies</w:t>
      </w:r>
    </w:p>
    <w:p>
      <w:pPr>
        <w:pStyle w:val="ListParagraph"/>
        <w:numPr>
          <w:ilvl w:val="0"/>
          <w:numId w:val="2"/>
        </w:numPr>
      </w:pPr>
      <w:r>
        <w:rPr>
          <w:rFonts w:ascii="Arial" w:cs="Arial" w:eastAsia="Arial" w:hAnsi="Arial"/>
          <w:sz w:val="24"/>
          <w:szCs w:val="24"/>
        </w:rPr>
        <w:t xml:space="preserve">Bayesian adaptive trial design software for heterogeneous rare disease populations</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Based on natural history data, what are the most appropriate primary and secondary endpoints for cluster-specific trials?</w:t>
      </w:r>
    </w:p>
    <w:p>
      <w:pPr>
        <w:pStyle w:val="ListParagraph"/>
        <w:numPr>
          <w:ilvl w:val="0"/>
          <w:numId w:val="2"/>
        </w:numPr>
      </w:pPr>
      <w:r>
        <w:rPr>
          <w:rFonts w:ascii="Arial" w:cs="Arial" w:eastAsia="Arial" w:hAnsi="Arial"/>
          <w:i/>
          <w:iCs/>
          <w:sz w:val="24"/>
          <w:szCs w:val="24"/>
        </w:rPr>
        <w:t xml:space="preserve">Should clinical trials be powered to detect seizure frequency reduction, seizure freedom, or developmental preservation?</w:t>
      </w:r>
    </w:p>
    <w:p>
      <w:pPr>
        <w:pStyle w:val="ListParagraph"/>
        <w:numPr>
          <w:ilvl w:val="0"/>
          <w:numId w:val="2"/>
        </w:numPr>
      </w:pPr>
      <w:r>
        <w:rPr>
          <w:rFonts w:ascii="Arial" w:cs="Arial" w:eastAsia="Arial" w:hAnsi="Arial"/>
          <w:i/>
          <w:iCs/>
          <w:sz w:val="24"/>
          <w:szCs w:val="24"/>
        </w:rPr>
        <w:t xml:space="preserve">How should patient heterogeneity within clusters be managed through stratification or adaptive design?</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Clinical trial design framework per common node with recommended primary/secondary endpoints</w:t>
      </w:r>
    </w:p>
    <w:p>
      <w:pPr>
        <w:pStyle w:val="ListParagraph"/>
        <w:numPr>
          <w:ilvl w:val="0"/>
          <w:numId w:val="2"/>
        </w:numPr>
      </w:pPr>
      <w:r>
        <w:rPr>
          <w:rFonts w:ascii="Arial" w:cs="Arial" w:eastAsia="Arial" w:hAnsi="Arial"/>
          <w:sz w:val="24"/>
          <w:szCs w:val="24"/>
        </w:rPr>
        <w:t xml:space="preserve">Natural history control baselines and historical control data for comparison</w:t>
      </w:r>
    </w:p>
    <w:p>
      <w:pPr>
        <w:pStyle w:val="ListParagraph"/>
        <w:numPr>
          <w:ilvl w:val="0"/>
          <w:numId w:val="2"/>
        </w:numPr>
      </w:pPr>
      <w:r>
        <w:rPr>
          <w:rFonts w:ascii="Arial" w:cs="Arial" w:eastAsia="Arial" w:hAnsi="Arial"/>
          <w:sz w:val="24"/>
          <w:szCs w:val="24"/>
        </w:rPr>
        <w:t xml:space="preserve">Patient stratification algorithms for enrollment and post-hoc analysis</w:t>
      </w:r>
    </w:p>
    <w:p>
      <w:pPr>
        <w:pStyle w:val="ListParagraph"/>
        <w:numPr>
          <w:ilvl w:val="0"/>
          <w:numId w:val="2"/>
        </w:numPr>
      </w:pPr>
      <w:r>
        <w:rPr>
          <w:rFonts w:ascii="Arial" w:cs="Arial" w:eastAsia="Arial" w:hAnsi="Arial"/>
          <w:sz w:val="24"/>
          <w:szCs w:val="24"/>
        </w:rPr>
        <w:t xml:space="preserve">Outcome measurement protocols aligned with standard clinical trial practices</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Trial design guidance documents with endpoint recommendations, patient stratification criteria, control baselines, and outcome protocols</w:t>
      </w:r>
    </w:p>
    <w:p>
      <w:pPr>
        <w:pStyle w:val="Heading2"/>
      </w:pPr>
      <w:r>
        <w:rPr>
          <w:rFonts w:ascii="Arial" w:cs="Arial" w:eastAsia="Arial" w:hAnsi="Arial"/>
          <w:b/>
          <w:bCs/>
          <w:sz w:val="28"/>
          <w:szCs w:val="28"/>
        </w:rPr>
        <w:t xml:space="preserve">Comprehensive Tools &amp; Databases Summary</w:t>
      </w:r>
    </w:p>
    <w:p>
      <w:pPr>
        <w:pStyle w:val="ListParagraph"/>
        <w:numPr>
          <w:ilvl w:val="0"/>
          <w:numId w:val="2"/>
        </w:numPr>
      </w:pPr>
      <w:r>
        <w:rPr>
          <w:rFonts w:ascii="Arial" w:cs="Arial" w:eastAsia="Arial" w:hAnsi="Arial"/>
          <w:sz w:val="24"/>
          <w:szCs w:val="24"/>
        </w:rPr>
        <w:t xml:space="preserve">PubMed/MEDLINE - primary medical literature database with systematic search capabilities</w:t>
      </w:r>
    </w:p>
    <w:p>
      <w:pPr>
        <w:pStyle w:val="ListParagraph"/>
        <w:numPr>
          <w:ilvl w:val="0"/>
          <w:numId w:val="2"/>
        </w:numPr>
      </w:pPr>
      <w:r>
        <w:rPr>
          <w:rFonts w:ascii="Arial" w:cs="Arial" w:eastAsia="Arial" w:hAnsi="Arial"/>
          <w:sz w:val="24"/>
          <w:szCs w:val="24"/>
        </w:rPr>
        <w:t xml:space="preserve">Scopus and Web of Science - comprehensive literature indexing with citation tracking</w:t>
      </w:r>
    </w:p>
    <w:p>
      <w:pPr>
        <w:pStyle w:val="ListParagraph"/>
        <w:numPr>
          <w:ilvl w:val="0"/>
          <w:numId w:val="2"/>
        </w:numPr>
      </w:pPr>
      <w:r>
        <w:rPr>
          <w:rFonts w:ascii="Arial" w:cs="Arial" w:eastAsia="Arial" w:hAnsi="Arial"/>
          <w:sz w:val="24"/>
          <w:szCs w:val="24"/>
        </w:rPr>
        <w:t xml:space="preserve">Covidence - systematic review platform for study selection and data extraction management</w:t>
      </w:r>
    </w:p>
    <w:p>
      <w:pPr>
        <w:pStyle w:val="ListParagraph"/>
        <w:numPr>
          <w:ilvl w:val="0"/>
          <w:numId w:val="2"/>
        </w:numPr>
      </w:pPr>
      <w:r>
        <w:rPr>
          <w:rFonts w:ascii="Arial" w:cs="Arial" w:eastAsia="Arial" w:hAnsi="Arial"/>
          <w:sz w:val="24"/>
          <w:szCs w:val="24"/>
        </w:rPr>
        <w:t xml:space="preserve">PROSPERO - international prospective register for systematic review protocols</w:t>
      </w:r>
    </w:p>
    <w:p>
      <w:pPr>
        <w:pStyle w:val="ListParagraph"/>
        <w:numPr>
          <w:ilvl w:val="0"/>
          <w:numId w:val="2"/>
        </w:numPr>
      </w:pPr>
      <w:r>
        <w:rPr>
          <w:rFonts w:ascii="Arial" w:cs="Arial" w:eastAsia="Arial" w:hAnsi="Arial"/>
          <w:sz w:val="24"/>
          <w:szCs w:val="24"/>
        </w:rPr>
        <w:t xml:space="preserve">RevMan (Review Manager) - Cochrane systematic review software for meta-analysis</w:t>
      </w:r>
    </w:p>
    <w:p>
      <w:pPr>
        <w:pStyle w:val="ListParagraph"/>
        <w:numPr>
          <w:ilvl w:val="0"/>
          <w:numId w:val="2"/>
        </w:numPr>
      </w:pPr>
      <w:r>
        <w:rPr>
          <w:rFonts w:ascii="Arial" w:cs="Arial" w:eastAsia="Arial" w:hAnsi="Arial"/>
          <w:sz w:val="24"/>
          <w:szCs w:val="24"/>
        </w:rPr>
        <w:t xml:space="preserve">R survival package - Kaplan-Meier curves and survival analysis for mortality data</w:t>
      </w:r>
    </w:p>
    <w:p>
      <w:pPr>
        <w:pStyle w:val="ListParagraph"/>
        <w:numPr>
          <w:ilvl w:val="0"/>
          <w:numId w:val="2"/>
        </w:numPr>
      </w:pPr>
      <w:r>
        <w:rPr>
          <w:rFonts w:ascii="Arial" w:cs="Arial" w:eastAsia="Arial" w:hAnsi="Arial"/>
          <w:sz w:val="24"/>
          <w:szCs w:val="24"/>
        </w:rPr>
        <w:t xml:space="preserve">Forest plot software (metaphor in R, GraphPad Prism) - meta-analysis visualization</w:t>
      </w:r>
    </w:p>
    <w:p>
      <w:pPr>
        <w:pStyle w:val="ListParagraph"/>
        <w:numPr>
          <w:ilvl w:val="0"/>
          <w:numId w:val="2"/>
        </w:numPr>
      </w:pPr>
      <w:r>
        <w:rPr>
          <w:rFonts w:ascii="Arial" w:cs="Arial" w:eastAsia="Arial" w:hAnsi="Arial"/>
          <w:sz w:val="24"/>
          <w:szCs w:val="24"/>
        </w:rPr>
        <w:t xml:space="preserve">LOESS smoothing - natural history trajectory visualization and pattern identification</w:t>
      </w:r>
    </w:p>
    <w:p>
      <w:pPr>
        <w:pStyle w:val="ListParagraph"/>
        <w:numPr>
          <w:ilvl w:val="0"/>
          <w:numId w:val="2"/>
        </w:numPr>
      </w:pPr>
      <w:r>
        <w:rPr>
          <w:rFonts w:ascii="Arial" w:cs="Arial" w:eastAsia="Arial" w:hAnsi="Arial"/>
          <w:sz w:val="24"/>
          <w:szCs w:val="24"/>
        </w:rPr>
        <w:t xml:space="preserve">Mixed effects modeling (nlme, lme4 in R) - multilevel developmental outcome analysis</w:t>
      </w:r>
    </w:p>
    <w:p>
      <w:pPr>
        <w:pStyle w:val="ListParagraph"/>
        <w:numPr>
          <w:ilvl w:val="0"/>
          <w:numId w:val="2"/>
        </w:numPr>
      </w:pPr>
      <w:r>
        <w:rPr>
          <w:rFonts w:ascii="Arial" w:cs="Arial" w:eastAsia="Arial" w:hAnsi="Arial"/>
          <w:sz w:val="24"/>
          <w:szCs w:val="24"/>
        </w:rPr>
        <w:t xml:space="preserve">ILAE Classification documents - international standardized epilepsy syndrome definitions</w:t>
      </w:r>
    </w:p>
    <w:p>
      <w:pPr>
        <w:pStyle w:val="ListParagraph"/>
        <w:numPr>
          <w:ilvl w:val="0"/>
          <w:numId w:val="2"/>
        </w:numPr>
      </w:pPr>
      <w:r>
        <w:rPr>
          <w:rFonts w:ascii="Arial" w:cs="Arial" w:eastAsia="Arial" w:hAnsi="Arial"/>
          <w:sz w:val="24"/>
          <w:szCs w:val="24"/>
        </w:rPr>
        <w:t xml:space="preserve">FDA Guidance on Natural History Controls - regulatory guidance for rare disease trial design</w:t>
      </w:r>
    </w:p>
    <w:p>
      <w:pPr>
        <w:pStyle w:val="ListParagraph"/>
        <w:numPr>
          <w:ilvl w:val="0"/>
          <w:numId w:val="2"/>
        </w:numPr>
      </w:pPr>
      <w:r>
        <w:rPr>
          <w:rFonts w:ascii="Arial" w:cs="Arial" w:eastAsia="Arial" w:hAnsi="Arial"/>
          <w:sz w:val="24"/>
          <w:szCs w:val="24"/>
        </w:rPr>
        <w:t xml:space="preserve">Clinical Trial Database (ClinicalTrials.gov) - registry of ongoing cohort studies and natural history efforts</w:t>
      </w:r>
    </w:p>
    <w:p>
      <w:pPr>
        <w:pStyle w:val="ListParagraph"/>
        <w:numPr>
          <w:ilvl w:val="0"/>
          <w:numId w:val="2"/>
        </w:numPr>
      </w:pPr>
      <w:r>
        <w:rPr>
          <w:rFonts w:ascii="Arial" w:cs="Arial" w:eastAsia="Arial" w:hAnsi="Arial"/>
          <w:sz w:val="24"/>
          <w:szCs w:val="24"/>
        </w:rPr>
        <w:t xml:space="preserve">GRADE methodology - standardized evidence quality assessment for systematic reviews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pPr>
    <w:rPr>
      <w:rFonts w:ascii="Arial" w:cs="Arial" w:eastAsia="Arial" w:hAnsi="Arial"/>
      <w:b/>
      <w:bCs/>
      <w:sz w:val="32"/>
      <w:szCs w:val="32"/>
    </w:rPr>
  </w:style>
  <w:style w:type="paragraph" w:styleId="Heading2">
    <w:name w:val="Heading 2"/>
    <w:basedOn w:val="Normal"/>
    <w:next w:val="Normal"/>
    <w:qFormat/>
    <w:pPr>
      <w:spacing w:after="200" w:before="20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2026-03-25T18:05:15.770Z</dcterms:created>
  <dcterms:modified xsi:type="dcterms:W3CDTF">2026-03-25T18:05:15.770Z</dcterms:modified>
</cp:coreProperties>
</file>

<file path=docProps/custom.xml><?xml version="1.0" encoding="utf-8"?>
<Properties xmlns="http://schemas.openxmlformats.org/officeDocument/2006/custom-properties" xmlns:vt="http://schemas.openxmlformats.org/officeDocument/2006/docPropsVTypes"/>
</file>