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#082: DEE Clinical Trial Endpoint Selection &amp; Natural History Integration</w:t>
      </w:r>
    </w:p>
    <w:p>
      <w:pPr>
        <w:pStyle w:val="Heading2"/>
      </w:pPr>
      <w:r>
        <w:rPr>
          <w:rFonts w:ascii="Arial" w:cs="Arial" w:eastAsia="Arial" w:hAnsi="Arial"/>
          <w:b/>
          <w:bCs/>
          <w:sz w:val="28"/>
          <w:szCs w:val="28"/>
        </w:rPr>
        <w:t xml:space="preserve">Pipeline Overview</w:t>
      </w:r>
    </w:p>
    <w:p>
      <w:r>
        <w:rPr>
          <w:rFonts w:ascii="Arial" w:cs="Arial" w:eastAsia="Arial" w:hAnsi="Arial"/>
          <w:b/>
          <w:bCs/>
          <w:sz w:val="24"/>
          <w:szCs w:val="24"/>
        </w:rPr>
        <w:t xml:space="preserve">Original Prompt:</w:t>
      </w:r>
    </w:p>
    <w:p>
      <w:pPr>
        <w:spacing w:after="120"/>
      </w:pPr>
      <w:r>
        <w:rPr>
          <w:rFonts w:ascii="Arial" w:cs="Arial" w:eastAsia="Arial" w:hAnsi="Arial"/>
          <w:i/>
          <w:iCs/>
          <w:sz w:val="24"/>
          <w:szCs w:val="24"/>
        </w:rPr>
        <w:t xml:space="preserve">Using the Angelini common node framework, identify clinical outcome measures and seizure diary endpoints from published DEE natural history studies and clinical trials that would be most appropriate for measuring therapeutic efficacy in a cluster-specific clinical trial design.</w:t>
      </w:r>
    </w:p>
    <w:p>
      <w:r>
        <w:rPr>
          <w:rFonts w:ascii="Arial" w:cs="Arial" w:eastAsia="Arial" w:hAnsi="Arial"/>
          <w:b/>
          <w:bCs/>
          <w:sz w:val="24"/>
          <w:szCs w:val="24"/>
        </w:rPr>
        <w:t xml:space="preserve">Objective:</w:t>
      </w:r>
    </w:p>
    <w:p>
      <w:pPr>
        <w:spacing w:after="120"/>
      </w:pPr>
      <w:r>
        <w:rPr>
          <w:rFonts w:ascii="Arial" w:cs="Arial" w:eastAsia="Arial" w:hAnsi="Arial"/>
          <w:sz w:val="24"/>
          <w:szCs w:val="24"/>
        </w:rPr>
        <w:t xml:space="preserve">Using the Angelini common node framework, identify clinical outcome measures and seizure diary endpoints from published DEE natural history studies and clinical trials that would be most appropriate for measuring therapeutic efficacy in a cluster-specific clinical trial design.</w:t>
      </w:r>
    </w:p>
    <w:p>
      <w:r>
        <w:rPr>
          <w:rFonts w:ascii="Arial" w:cs="Arial" w:eastAsia="Arial" w:hAnsi="Arial"/>
          <w:b/>
          <w:bCs/>
          <w:sz w:val="24"/>
          <w:szCs w:val="24"/>
        </w:rPr>
        <w:t xml:space="preserve">Pipeline Complexity:</w:t>
      </w:r>
    </w:p>
    <w:p>
      <w:pPr>
        <w:spacing w:after="200"/>
      </w:pPr>
      <w:r>
        <w:rPr>
          <w:rFonts w:ascii="Arial" w:cs="Arial" w:eastAsia="Arial" w:hAnsi="Arial"/>
          <w:sz w:val="24"/>
          <w:szCs w:val="24"/>
        </w:rPr>
        <w:t xml:space="preserve">High - Requires integration of clinical trial design principles, natural history study outcomes, seizure semiology data, and statistical power analysis for rare disease populations</w:t>
      </w:r>
    </w:p>
    <w:p>
      <w:pPr>
        <w:pStyle w:val="Heading2"/>
      </w:pPr>
      <w:r>
        <w:rPr>
          <w:rFonts w:ascii="Arial" w:cs="Arial" w:eastAsia="Arial" w:hAnsi="Arial"/>
          <w:b/>
          <w:bCs/>
          <w:sz w:val="28"/>
          <w:szCs w:val="28"/>
        </w:rPr>
        <w:t xml:space="preserve">Stage 1: Data Retrieval &amp; Source Identification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Systematically search and retrieve all published DEE natural history studies, prospective cohort studies, and clinical trials from PubMed, ClinicalTrials.gov, and specialized epilepsy registries. Extract and standardize primary and secondary endpoints used across studies. Compile comprehensive tables of clinical outcome measures, seizure monitoring parameters, and functional assessment tools employed in DEE populations.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PubMed search results for DEE natural history studies</w:t>
      </w:r>
    </w:p>
    <w:p>
      <w:pPr>
        <w:pStyle w:val="ListParagraph"/>
        <w:numPr>
          <w:ilvl w:val="0"/>
          <w:numId w:val="2"/>
        </w:numPr>
      </w:pPr>
      <w:r>
        <w:rPr>
          <w:rFonts w:ascii="Arial" w:cs="Arial" w:eastAsia="Arial" w:hAnsi="Arial"/>
          <w:sz w:val="24"/>
          <w:szCs w:val="24"/>
        </w:rPr>
        <w:t xml:space="preserve">ClinicalTrials.gov trial protocol datasets</w:t>
      </w:r>
    </w:p>
    <w:p>
      <w:pPr>
        <w:pStyle w:val="ListParagraph"/>
        <w:numPr>
          <w:ilvl w:val="0"/>
          <w:numId w:val="2"/>
        </w:numPr>
      </w:pPr>
      <w:r>
        <w:rPr>
          <w:rFonts w:ascii="Arial" w:cs="Arial" w:eastAsia="Arial" w:hAnsi="Arial"/>
          <w:sz w:val="24"/>
          <w:szCs w:val="24"/>
        </w:rPr>
        <w:t xml:space="preserve">Epilepsy Foundation registry data</w:t>
      </w:r>
    </w:p>
    <w:p>
      <w:pPr>
        <w:pStyle w:val="ListParagraph"/>
        <w:numPr>
          <w:ilvl w:val="0"/>
          <w:numId w:val="2"/>
        </w:numPr>
      </w:pPr>
      <w:r>
        <w:rPr>
          <w:rFonts w:ascii="Arial" w:cs="Arial" w:eastAsia="Arial" w:hAnsi="Arial"/>
          <w:sz w:val="24"/>
          <w:szCs w:val="24"/>
        </w:rPr>
        <w:t xml:space="preserve">EpiCare Centers database</w:t>
      </w:r>
    </w:p>
    <w:p>
      <w:pPr>
        <w:pStyle w:val="ListParagraph"/>
        <w:numPr>
          <w:ilvl w:val="0"/>
          <w:numId w:val="2"/>
        </w:numPr>
      </w:pPr>
      <w:r>
        <w:rPr>
          <w:rFonts w:ascii="Arial" w:cs="Arial" w:eastAsia="Arial" w:hAnsi="Arial"/>
          <w:sz w:val="24"/>
          <w:szCs w:val="24"/>
        </w:rPr>
        <w:t xml:space="preserve">Published seizure diary formats and validation studies</w:t>
      </w:r>
    </w:p>
    <w:p>
      <w:pPr>
        <w:pStyle w:val="ListParagraph"/>
        <w:numPr>
          <w:ilvl w:val="0"/>
          <w:numId w:val="2"/>
        </w:numPr>
      </w:pPr>
      <w:r>
        <w:rPr>
          <w:rFonts w:ascii="Arial" w:cs="Arial" w:eastAsia="Arial" w:hAnsi="Arial"/>
          <w:sz w:val="24"/>
          <w:szCs w:val="24"/>
        </w:rPr>
        <w:t xml:space="preserve">Clinical trial registration documents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PubMed/MEDLINE search API with filters</w:t>
      </w:r>
    </w:p>
    <w:p>
      <w:pPr>
        <w:pStyle w:val="ListParagraph"/>
        <w:numPr>
          <w:ilvl w:val="0"/>
          <w:numId w:val="2"/>
        </w:numPr>
      </w:pPr>
      <w:r>
        <w:rPr>
          <w:rFonts w:ascii="Arial" w:cs="Arial" w:eastAsia="Arial" w:hAnsi="Arial"/>
          <w:sz w:val="24"/>
          <w:szCs w:val="24"/>
        </w:rPr>
        <w:t xml:space="preserve">ClinicalTrials.gov XML API</w:t>
      </w:r>
    </w:p>
    <w:p>
      <w:pPr>
        <w:pStyle w:val="ListParagraph"/>
        <w:numPr>
          <w:ilvl w:val="0"/>
          <w:numId w:val="2"/>
        </w:numPr>
      </w:pPr>
      <w:r>
        <w:rPr>
          <w:rFonts w:ascii="Arial" w:cs="Arial" w:eastAsia="Arial" w:hAnsi="Arial"/>
          <w:sz w:val="24"/>
          <w:szCs w:val="24"/>
        </w:rPr>
        <w:t xml:space="preserve">EpiCare database query interface</w:t>
      </w:r>
    </w:p>
    <w:p>
      <w:pPr>
        <w:pStyle w:val="ListParagraph"/>
        <w:numPr>
          <w:ilvl w:val="0"/>
          <w:numId w:val="2"/>
        </w:numPr>
      </w:pPr>
      <w:r>
        <w:rPr>
          <w:rFonts w:ascii="Arial" w:cs="Arial" w:eastAsia="Arial" w:hAnsi="Arial"/>
          <w:sz w:val="24"/>
          <w:szCs w:val="24"/>
        </w:rPr>
        <w:t xml:space="preserve">Epilepsy Foundation public registries</w:t>
      </w:r>
    </w:p>
    <w:p>
      <w:pPr>
        <w:pStyle w:val="ListParagraph"/>
        <w:numPr>
          <w:ilvl w:val="0"/>
          <w:numId w:val="2"/>
        </w:numPr>
      </w:pPr>
      <w:r>
        <w:rPr>
          <w:rFonts w:ascii="Arial" w:cs="Arial" w:eastAsia="Arial" w:hAnsi="Arial"/>
          <w:sz w:val="24"/>
          <w:szCs w:val="24"/>
        </w:rPr>
        <w:t xml:space="preserve">Web scraping tools (Beautiful Soup, Scrapy) for trial documents</w:t>
      </w:r>
    </w:p>
    <w:p>
      <w:pPr>
        <w:pStyle w:val="ListParagraph"/>
        <w:numPr>
          <w:ilvl w:val="0"/>
          <w:numId w:val="2"/>
        </w:numPr>
      </w:pPr>
      <w:r>
        <w:rPr>
          <w:rFonts w:ascii="Arial" w:cs="Arial" w:eastAsia="Arial" w:hAnsi="Arial"/>
          <w:sz w:val="24"/>
          <w:szCs w:val="24"/>
        </w:rPr>
        <w:t xml:space="preserve">EndNote or Zotero reference management</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are the most commonly used primary endpoints in recent DEE clinical trials?</w:t>
      </w:r>
    </w:p>
    <w:p>
      <w:pPr>
        <w:pStyle w:val="ListParagraph"/>
        <w:numPr>
          <w:ilvl w:val="0"/>
          <w:numId w:val="2"/>
        </w:numPr>
      </w:pPr>
      <w:r>
        <w:rPr>
          <w:rFonts w:ascii="Arial" w:cs="Arial" w:eastAsia="Arial" w:hAnsi="Arial"/>
          <w:i/>
          <w:iCs/>
          <w:sz w:val="24"/>
          <w:szCs w:val="24"/>
        </w:rPr>
        <w:t xml:space="preserve">How have seizure assessment methods evolved in natural history studies over the past decade?</w:t>
      </w:r>
    </w:p>
    <w:p>
      <w:pPr>
        <w:pStyle w:val="ListParagraph"/>
        <w:numPr>
          <w:ilvl w:val="0"/>
          <w:numId w:val="2"/>
        </w:numPr>
      </w:pPr>
      <w:r>
        <w:rPr>
          <w:rFonts w:ascii="Arial" w:cs="Arial" w:eastAsia="Arial" w:hAnsi="Arial"/>
          <w:i/>
          <w:iCs/>
          <w:sz w:val="24"/>
          <w:szCs w:val="24"/>
        </w:rPr>
        <w:t xml:space="preserve">Which outcome measures show the strongest correlation with long-term prognosis in DEE?</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Comprehensive literature review table with 50+ studies</w:t>
      </w:r>
    </w:p>
    <w:p>
      <w:pPr>
        <w:pStyle w:val="ListParagraph"/>
        <w:numPr>
          <w:ilvl w:val="0"/>
          <w:numId w:val="2"/>
        </w:numPr>
      </w:pPr>
      <w:r>
        <w:rPr>
          <w:rFonts w:ascii="Arial" w:cs="Arial" w:eastAsia="Arial" w:hAnsi="Arial"/>
          <w:sz w:val="24"/>
          <w:szCs w:val="24"/>
        </w:rPr>
        <w:t xml:space="preserve">Standardized endpoint extraction matrix by study type</w:t>
      </w:r>
    </w:p>
    <w:p>
      <w:pPr>
        <w:pStyle w:val="ListParagraph"/>
        <w:numPr>
          <w:ilvl w:val="0"/>
          <w:numId w:val="2"/>
        </w:numPr>
      </w:pPr>
      <w:r>
        <w:rPr>
          <w:rFonts w:ascii="Arial" w:cs="Arial" w:eastAsia="Arial" w:hAnsi="Arial"/>
          <w:sz w:val="24"/>
          <w:szCs w:val="24"/>
        </w:rPr>
        <w:t xml:space="preserve">Frequency distribution of endpoint types across trials</w:t>
      </w:r>
    </w:p>
    <w:p>
      <w:pPr>
        <w:pStyle w:val="ListParagraph"/>
        <w:numPr>
          <w:ilvl w:val="0"/>
          <w:numId w:val="2"/>
        </w:numPr>
      </w:pPr>
      <w:r>
        <w:rPr>
          <w:rFonts w:ascii="Arial" w:cs="Arial" w:eastAsia="Arial" w:hAnsi="Arial"/>
          <w:sz w:val="24"/>
          <w:szCs w:val="24"/>
        </w:rPr>
        <w:t xml:space="preserve">Natural history study cohort characteristics summary</w:t>
      </w:r>
    </w:p>
    <w:p>
      <w:pPr>
        <w:pStyle w:val="ListParagraph"/>
        <w:numPr>
          <w:ilvl w:val="0"/>
          <w:numId w:val="2"/>
        </w:numPr>
      </w:pPr>
      <w:r>
        <w:rPr>
          <w:rFonts w:ascii="Arial" w:cs="Arial" w:eastAsia="Arial" w:hAnsi="Arial"/>
          <w:sz w:val="24"/>
          <w:szCs w:val="24"/>
        </w:rPr>
        <w:t xml:space="preserve">Outcome measure validation evidence compilation</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Structured CSV database with study metadata, JSON files for endpoint definitions, and narrative review document</w:t>
      </w:r>
    </w:p>
    <w:p>
      <w:pPr>
        <w:pStyle w:val="Heading2"/>
      </w:pPr>
      <w:r>
        <w:rPr>
          <w:rFonts w:ascii="Arial" w:cs="Arial" w:eastAsia="Arial" w:hAnsi="Arial"/>
          <w:b/>
          <w:bCs/>
          <w:sz w:val="28"/>
          <w:szCs w:val="28"/>
        </w:rPr>
        <w:t xml:space="preserve">Stage 2: Data Extraction &amp; Preprocessing</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Map the Angelini common node functional clusters to clinical syndromic categories and seizure phenotypes from the literature. Cross-reference functional cluster assignments with published epilepsy syndrome classifications (ILAE), genotype-phenotype relationships, and seizure semiology descriptors. Identify which clinical outcome measures are most relevant to each functional cluster's underlying pathophysiology.</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Angelini common node functional clusters</w:t>
      </w:r>
    </w:p>
    <w:p>
      <w:pPr>
        <w:pStyle w:val="ListParagraph"/>
        <w:numPr>
          <w:ilvl w:val="0"/>
          <w:numId w:val="2"/>
        </w:numPr>
      </w:pPr>
      <w:r>
        <w:rPr>
          <w:rFonts w:ascii="Arial" w:cs="Arial" w:eastAsia="Arial" w:hAnsi="Arial"/>
          <w:sz w:val="24"/>
          <w:szCs w:val="24"/>
        </w:rPr>
        <w:t xml:space="preserve">ILAE epilepsy syndrome definitions</w:t>
      </w:r>
    </w:p>
    <w:p>
      <w:pPr>
        <w:pStyle w:val="ListParagraph"/>
        <w:numPr>
          <w:ilvl w:val="0"/>
          <w:numId w:val="2"/>
        </w:numPr>
      </w:pPr>
      <w:r>
        <w:rPr>
          <w:rFonts w:ascii="Arial" w:cs="Arial" w:eastAsia="Arial" w:hAnsi="Arial"/>
          <w:sz w:val="24"/>
          <w:szCs w:val="24"/>
        </w:rPr>
        <w:t xml:space="preserve">Seizure semiology standardized terminology</w:t>
      </w:r>
    </w:p>
    <w:p>
      <w:pPr>
        <w:pStyle w:val="ListParagraph"/>
        <w:numPr>
          <w:ilvl w:val="0"/>
          <w:numId w:val="2"/>
        </w:numPr>
      </w:pPr>
      <w:r>
        <w:rPr>
          <w:rFonts w:ascii="Arial" w:cs="Arial" w:eastAsia="Arial" w:hAnsi="Arial"/>
          <w:sz w:val="24"/>
          <w:szCs w:val="24"/>
        </w:rPr>
        <w:t xml:space="preserve">Published genotype-phenotype correlation data</w:t>
      </w:r>
    </w:p>
    <w:p>
      <w:pPr>
        <w:pStyle w:val="ListParagraph"/>
        <w:numPr>
          <w:ilvl w:val="0"/>
          <w:numId w:val="2"/>
        </w:numPr>
      </w:pPr>
      <w:r>
        <w:rPr>
          <w:rFonts w:ascii="Arial" w:cs="Arial" w:eastAsia="Arial" w:hAnsi="Arial"/>
          <w:sz w:val="24"/>
          <w:szCs w:val="24"/>
        </w:rPr>
        <w:t xml:space="preserve">Functional cluster mechanistic pathway information</w:t>
      </w:r>
    </w:p>
    <w:p>
      <w:pPr>
        <w:pStyle w:val="ListParagraph"/>
        <w:numPr>
          <w:ilvl w:val="0"/>
          <w:numId w:val="2"/>
        </w:numPr>
      </w:pPr>
      <w:r>
        <w:rPr>
          <w:rFonts w:ascii="Arial" w:cs="Arial" w:eastAsia="Arial" w:hAnsi="Arial"/>
          <w:sz w:val="24"/>
          <w:szCs w:val="24"/>
        </w:rPr>
        <w:t xml:space="preserve">Cluster-specific pathophysiology descriptions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Angelini database cluster assignment data</w:t>
      </w:r>
    </w:p>
    <w:p>
      <w:pPr>
        <w:pStyle w:val="ListParagraph"/>
        <w:numPr>
          <w:ilvl w:val="0"/>
          <w:numId w:val="2"/>
        </w:numPr>
      </w:pPr>
      <w:r>
        <w:rPr>
          <w:rFonts w:ascii="Arial" w:cs="Arial" w:eastAsia="Arial" w:hAnsi="Arial"/>
          <w:sz w:val="24"/>
          <w:szCs w:val="24"/>
        </w:rPr>
        <w:t xml:space="preserve">ILAE official classification documents</w:t>
      </w:r>
    </w:p>
    <w:p>
      <w:pPr>
        <w:pStyle w:val="ListParagraph"/>
        <w:numPr>
          <w:ilvl w:val="0"/>
          <w:numId w:val="2"/>
        </w:numPr>
      </w:pPr>
      <w:r>
        <w:rPr>
          <w:rFonts w:ascii="Arial" w:cs="Arial" w:eastAsia="Arial" w:hAnsi="Arial"/>
          <w:sz w:val="24"/>
          <w:szCs w:val="24"/>
        </w:rPr>
        <w:t xml:space="preserve">Seizure ontology mapping tools</w:t>
      </w:r>
    </w:p>
    <w:p>
      <w:pPr>
        <w:pStyle w:val="ListParagraph"/>
        <w:numPr>
          <w:ilvl w:val="0"/>
          <w:numId w:val="2"/>
        </w:numPr>
      </w:pPr>
      <w:r>
        <w:rPr>
          <w:rFonts w:ascii="Arial" w:cs="Arial" w:eastAsia="Arial" w:hAnsi="Arial"/>
          <w:sz w:val="24"/>
          <w:szCs w:val="24"/>
        </w:rPr>
        <w:t xml:space="preserve">Graph database (Neo4j) for genotype-phenotype networks</w:t>
      </w:r>
    </w:p>
    <w:p>
      <w:pPr>
        <w:pStyle w:val="ListParagraph"/>
        <w:numPr>
          <w:ilvl w:val="0"/>
          <w:numId w:val="2"/>
        </w:numPr>
      </w:pPr>
      <w:r>
        <w:rPr>
          <w:rFonts w:ascii="Arial" w:cs="Arial" w:eastAsia="Arial" w:hAnsi="Arial"/>
          <w:sz w:val="24"/>
          <w:szCs w:val="24"/>
        </w:rPr>
        <w:t xml:space="preserve">KEGG/Reactome pathway analysis</w:t>
      </w:r>
    </w:p>
    <w:p>
      <w:pPr>
        <w:pStyle w:val="ListParagraph"/>
        <w:numPr>
          <w:ilvl w:val="0"/>
          <w:numId w:val="2"/>
        </w:numPr>
      </w:pPr>
      <w:r>
        <w:rPr>
          <w:rFonts w:ascii="Arial" w:cs="Arial" w:eastAsia="Arial" w:hAnsi="Arial"/>
          <w:sz w:val="24"/>
          <w:szCs w:val="24"/>
        </w:rPr>
        <w:t xml:space="preserve">Custom Python mapping scripts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How do the functional phenotypes from Optopatch map to recognized seizure semiology and syndrome features?</w:t>
      </w:r>
    </w:p>
    <w:p>
      <w:pPr>
        <w:pStyle w:val="ListParagraph"/>
        <w:numPr>
          <w:ilvl w:val="0"/>
          <w:numId w:val="2"/>
        </w:numPr>
      </w:pPr>
      <w:r>
        <w:rPr>
          <w:rFonts w:ascii="Arial" w:cs="Arial" w:eastAsia="Arial" w:hAnsi="Arial"/>
          <w:i/>
          <w:iCs/>
          <w:sz w:val="24"/>
          <w:szCs w:val="24"/>
        </w:rPr>
        <w:t xml:space="preserve">Which clinical outcome measures best capture the pathophysiology of each common node?</w:t>
      </w:r>
    </w:p>
    <w:p>
      <w:pPr>
        <w:pStyle w:val="ListParagraph"/>
        <w:numPr>
          <w:ilvl w:val="0"/>
          <w:numId w:val="2"/>
        </w:numPr>
      </w:pPr>
      <w:r>
        <w:rPr>
          <w:rFonts w:ascii="Arial" w:cs="Arial" w:eastAsia="Arial" w:hAnsi="Arial"/>
          <w:i/>
          <w:iCs/>
          <w:sz w:val="24"/>
          <w:szCs w:val="24"/>
        </w:rPr>
        <w:t xml:space="preserve">Are there cluster-specific seizure types that should be targeted as primary endpoints?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Cluster-to-syndrome mapping table with mechanistic annotations</w:t>
      </w:r>
    </w:p>
    <w:p>
      <w:pPr>
        <w:pStyle w:val="ListParagraph"/>
        <w:numPr>
          <w:ilvl w:val="0"/>
          <w:numId w:val="2"/>
        </w:numPr>
      </w:pPr>
      <w:r>
        <w:rPr>
          <w:rFonts w:ascii="Arial" w:cs="Arial" w:eastAsia="Arial" w:hAnsi="Arial"/>
          <w:sz w:val="24"/>
          <w:szCs w:val="24"/>
        </w:rPr>
        <w:t xml:space="preserve">Seizure type frequency by functional cluster</w:t>
      </w:r>
    </w:p>
    <w:p>
      <w:pPr>
        <w:pStyle w:val="ListParagraph"/>
        <w:numPr>
          <w:ilvl w:val="0"/>
          <w:numId w:val="2"/>
        </w:numPr>
      </w:pPr>
      <w:r>
        <w:rPr>
          <w:rFonts w:ascii="Arial" w:cs="Arial" w:eastAsia="Arial" w:hAnsi="Arial"/>
          <w:sz w:val="24"/>
          <w:szCs w:val="24"/>
        </w:rPr>
        <w:t xml:space="preserve">Pathophysiology-relevant outcome measure recommendations</w:t>
      </w:r>
    </w:p>
    <w:p>
      <w:pPr>
        <w:pStyle w:val="ListParagraph"/>
        <w:numPr>
          <w:ilvl w:val="0"/>
          <w:numId w:val="2"/>
        </w:numPr>
      </w:pPr>
      <w:r>
        <w:rPr>
          <w:rFonts w:ascii="Arial" w:cs="Arial" w:eastAsia="Arial" w:hAnsi="Arial"/>
          <w:sz w:val="24"/>
          <w:szCs w:val="24"/>
        </w:rPr>
        <w:t xml:space="preserve">Seizure semiology descriptor alignment matrix</w:t>
      </w:r>
    </w:p>
    <w:p>
      <w:pPr>
        <w:pStyle w:val="ListParagraph"/>
        <w:numPr>
          <w:ilvl w:val="0"/>
          <w:numId w:val="2"/>
        </w:numPr>
      </w:pPr>
      <w:r>
        <w:rPr>
          <w:rFonts w:ascii="Arial" w:cs="Arial" w:eastAsia="Arial" w:hAnsi="Arial"/>
          <w:sz w:val="24"/>
          <w:szCs w:val="24"/>
        </w:rPr>
        <w:t xml:space="preserve">Cluster-specific clinical feature profiles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Relational database export (CSV) with detailed mapping documentation and network visualization figures</w:t>
      </w:r>
    </w:p>
    <w:p>
      <w:pPr>
        <w:pStyle w:val="Heading2"/>
      </w:pPr>
      <w:r>
        <w:rPr>
          <w:rFonts w:ascii="Arial" w:cs="Arial" w:eastAsia="Arial" w:hAnsi="Arial"/>
          <w:b/>
          <w:bCs/>
          <w:sz w:val="28"/>
          <w:szCs w:val="28"/>
        </w:rPr>
        <w:t xml:space="preserve">Stage 3: Computational Analysis &amp; Integration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Perform systematic statistical analysis of endpoint sensitivity and responsiveness in DEE populations. Calculate minimal clinically important differences (MCID) for seizure frequency, seizure severity, quality of life, and developmental outcomes based on natural history data and published MCID studies. Conduct power analysis to determine sample sizes needed to detect clinically meaningful improvements for each endpoint type.</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Natural history cohort seizure frequency data</w:t>
      </w:r>
    </w:p>
    <w:p>
      <w:pPr>
        <w:pStyle w:val="ListParagraph"/>
        <w:numPr>
          <w:ilvl w:val="0"/>
          <w:numId w:val="2"/>
        </w:numPr>
      </w:pPr>
      <w:r>
        <w:rPr>
          <w:rFonts w:ascii="Arial" w:cs="Arial" w:eastAsia="Arial" w:hAnsi="Arial"/>
          <w:sz w:val="24"/>
          <w:szCs w:val="24"/>
        </w:rPr>
        <w:t xml:space="preserve">Published MCID studies for epilepsy measures</w:t>
      </w:r>
    </w:p>
    <w:p>
      <w:pPr>
        <w:pStyle w:val="ListParagraph"/>
        <w:numPr>
          <w:ilvl w:val="0"/>
          <w:numId w:val="2"/>
        </w:numPr>
      </w:pPr>
      <w:r>
        <w:rPr>
          <w:rFonts w:ascii="Arial" w:cs="Arial" w:eastAsia="Arial" w:hAnsi="Arial"/>
          <w:sz w:val="24"/>
          <w:szCs w:val="24"/>
        </w:rPr>
        <w:t xml:space="preserve">Clinical trial effect size data from recent DEE trials</w:t>
      </w:r>
    </w:p>
    <w:p>
      <w:pPr>
        <w:pStyle w:val="ListParagraph"/>
        <w:numPr>
          <w:ilvl w:val="0"/>
          <w:numId w:val="2"/>
        </w:numPr>
      </w:pPr>
      <w:r>
        <w:rPr>
          <w:rFonts w:ascii="Arial" w:cs="Arial" w:eastAsia="Arial" w:hAnsi="Arial"/>
          <w:sz w:val="24"/>
          <w:szCs w:val="24"/>
        </w:rPr>
        <w:t xml:space="preserve">Seizure variability estimates from long-term monitoring</w:t>
      </w:r>
    </w:p>
    <w:p>
      <w:pPr>
        <w:pStyle w:val="ListParagraph"/>
        <w:numPr>
          <w:ilvl w:val="0"/>
          <w:numId w:val="2"/>
        </w:numPr>
      </w:pPr>
      <w:r>
        <w:rPr>
          <w:rFonts w:ascii="Arial" w:cs="Arial" w:eastAsia="Arial" w:hAnsi="Arial"/>
          <w:sz w:val="24"/>
          <w:szCs w:val="24"/>
        </w:rPr>
        <w:t xml:space="preserve">Quality of life outcome distributions</w:t>
      </w:r>
    </w:p>
    <w:p>
      <w:pPr>
        <w:pStyle w:val="ListParagraph"/>
        <w:numPr>
          <w:ilvl w:val="0"/>
          <w:numId w:val="2"/>
        </w:numPr>
      </w:pPr>
      <w:r>
        <w:rPr>
          <w:rFonts w:ascii="Arial" w:cs="Arial" w:eastAsia="Arial" w:hAnsi="Arial"/>
          <w:sz w:val="24"/>
          <w:szCs w:val="24"/>
        </w:rPr>
        <w:t xml:space="preserve">Developmental assessment score ranges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R stats package for power analysis</w:t>
      </w:r>
    </w:p>
    <w:p>
      <w:pPr>
        <w:pStyle w:val="ListParagraph"/>
        <w:numPr>
          <w:ilvl w:val="0"/>
          <w:numId w:val="2"/>
        </w:numPr>
      </w:pPr>
      <w:r>
        <w:rPr>
          <w:rFonts w:ascii="Arial" w:cs="Arial" w:eastAsia="Arial" w:hAnsi="Arial"/>
          <w:sz w:val="24"/>
          <w:szCs w:val="24"/>
        </w:rPr>
        <w:t xml:space="preserve">G*Power statistical software</w:t>
      </w:r>
    </w:p>
    <w:p>
      <w:pPr>
        <w:pStyle w:val="ListParagraph"/>
        <w:numPr>
          <w:ilvl w:val="0"/>
          <w:numId w:val="2"/>
        </w:numPr>
      </w:pPr>
      <w:r>
        <w:rPr>
          <w:rFonts w:ascii="Arial" w:cs="Arial" w:eastAsia="Arial" w:hAnsi="Arial"/>
          <w:sz w:val="24"/>
          <w:szCs w:val="24"/>
        </w:rPr>
        <w:t xml:space="preserve">Python scipy.stats for effect size calculations</w:t>
      </w:r>
    </w:p>
    <w:p>
      <w:pPr>
        <w:pStyle w:val="ListParagraph"/>
        <w:numPr>
          <w:ilvl w:val="0"/>
          <w:numId w:val="2"/>
        </w:numPr>
      </w:pPr>
      <w:r>
        <w:rPr>
          <w:rFonts w:ascii="Arial" w:cs="Arial" w:eastAsia="Arial" w:hAnsi="Arial"/>
          <w:sz w:val="24"/>
          <w:szCs w:val="24"/>
        </w:rPr>
        <w:t xml:space="preserve">Meta-analysis software (RevMan, CMA)</w:t>
      </w:r>
    </w:p>
    <w:p>
      <w:pPr>
        <w:pStyle w:val="ListParagraph"/>
        <w:numPr>
          <w:ilvl w:val="0"/>
          <w:numId w:val="2"/>
        </w:numPr>
      </w:pPr>
      <w:r>
        <w:rPr>
          <w:rFonts w:ascii="Arial" w:cs="Arial" w:eastAsia="Arial" w:hAnsi="Arial"/>
          <w:sz w:val="24"/>
          <w:szCs w:val="24"/>
        </w:rPr>
        <w:t xml:space="preserve">Seizure frequency statistical modeling (Poisson, negative binomial)</w:t>
      </w:r>
    </w:p>
    <w:p>
      <w:pPr>
        <w:pStyle w:val="ListParagraph"/>
        <w:numPr>
          <w:ilvl w:val="0"/>
          <w:numId w:val="2"/>
        </w:numPr>
      </w:pPr>
      <w:r>
        <w:rPr>
          <w:rFonts w:ascii="Arial" w:cs="Arial" w:eastAsia="Arial" w:hAnsi="Arial"/>
          <w:sz w:val="24"/>
          <w:szCs w:val="24"/>
        </w:rPr>
        <w:t xml:space="preserve">Quality of life instrument validation studies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is the minimal clinically important difference in seizure frequency for each common node?</w:t>
      </w:r>
    </w:p>
    <w:p>
      <w:pPr>
        <w:pStyle w:val="ListParagraph"/>
        <w:numPr>
          <w:ilvl w:val="0"/>
          <w:numId w:val="2"/>
        </w:numPr>
      </w:pPr>
      <w:r>
        <w:rPr>
          <w:rFonts w:ascii="Arial" w:cs="Arial" w:eastAsia="Arial" w:hAnsi="Arial"/>
          <w:i/>
          <w:iCs/>
          <w:sz w:val="24"/>
          <w:szCs w:val="24"/>
        </w:rPr>
        <w:t xml:space="preserve">How much variability exists in seizure counts within individual patients over time?</w:t>
      </w:r>
    </w:p>
    <w:p>
      <w:pPr>
        <w:pStyle w:val="ListParagraph"/>
        <w:numPr>
          <w:ilvl w:val="0"/>
          <w:numId w:val="2"/>
        </w:numPr>
      </w:pPr>
      <w:r>
        <w:rPr>
          <w:rFonts w:ascii="Arial" w:cs="Arial" w:eastAsia="Arial" w:hAnsi="Arial"/>
          <w:i/>
          <w:iCs/>
          <w:sz w:val="24"/>
          <w:szCs w:val="24"/>
        </w:rPr>
        <w:t xml:space="preserve">What sample sizes are achievable given the epidemiology of specific DEE genotypes?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MCID estimates for primary endpoints</w:t>
      </w:r>
    </w:p>
    <w:p>
      <w:pPr>
        <w:pStyle w:val="ListParagraph"/>
        <w:numPr>
          <w:ilvl w:val="0"/>
          <w:numId w:val="2"/>
        </w:numPr>
      </w:pPr>
      <w:r>
        <w:rPr>
          <w:rFonts w:ascii="Arial" w:cs="Arial" w:eastAsia="Arial" w:hAnsi="Arial"/>
          <w:sz w:val="24"/>
          <w:szCs w:val="24"/>
        </w:rPr>
        <w:t xml:space="preserve">Sample size calculations for 80% power by endpoint type</w:t>
      </w:r>
    </w:p>
    <w:p>
      <w:pPr>
        <w:pStyle w:val="ListParagraph"/>
        <w:numPr>
          <w:ilvl w:val="0"/>
          <w:numId w:val="2"/>
        </w:numPr>
      </w:pPr>
      <w:r>
        <w:rPr>
          <w:rFonts w:ascii="Arial" w:cs="Arial" w:eastAsia="Arial" w:hAnsi="Arial"/>
          <w:sz w:val="24"/>
          <w:szCs w:val="24"/>
        </w:rPr>
        <w:t xml:space="preserve">Seizure variability analysis with recommendations for monitoring frequency</w:t>
      </w:r>
    </w:p>
    <w:p>
      <w:pPr>
        <w:pStyle w:val="ListParagraph"/>
        <w:numPr>
          <w:ilvl w:val="0"/>
          <w:numId w:val="2"/>
        </w:numPr>
      </w:pPr>
      <w:r>
        <w:rPr>
          <w:rFonts w:ascii="Arial" w:cs="Arial" w:eastAsia="Arial" w:hAnsi="Arial"/>
          <w:sz w:val="24"/>
          <w:szCs w:val="24"/>
        </w:rPr>
        <w:t xml:space="preserve">Effect size meta-analysis summary</w:t>
      </w:r>
    </w:p>
    <w:p>
      <w:pPr>
        <w:pStyle w:val="ListParagraph"/>
        <w:numPr>
          <w:ilvl w:val="0"/>
          <w:numId w:val="2"/>
        </w:numPr>
      </w:pPr>
      <w:r>
        <w:rPr>
          <w:rFonts w:ascii="Arial" w:cs="Arial" w:eastAsia="Arial" w:hAnsi="Arial"/>
          <w:sz w:val="24"/>
          <w:szCs w:val="24"/>
        </w:rPr>
        <w:t xml:space="preserve">Statistical power projections for different trial designs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R markdown statistical analysis report (HTML) with supporting data tables and power curve visualizations</w:t>
      </w:r>
    </w:p>
    <w:p>
      <w:pPr>
        <w:pStyle w:val="Heading2"/>
      </w:pPr>
      <w:r>
        <w:rPr>
          <w:rFonts w:ascii="Arial" w:cs="Arial" w:eastAsia="Arial" w:hAnsi="Arial"/>
          <w:b/>
          <w:bCs/>
          <w:sz w:val="28"/>
          <w:szCs w:val="28"/>
        </w:rPr>
        <w:t xml:space="preserve">Stage 4: Cross-Reference Validation &amp; Quality Control</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Design cluster-specific clinical trial endpoint strategies informed by functional cluster pathophysiology and natural history data. Specify optimal primary endpoints, co-primary endpoints, and hierarchical secondary endpoints for different trial designs. Establish seizure monitoring protocols, assessment visit schedules, and data quality standards appropriate for rare disease populations.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Clinical trial endpoint strategy recommendations</w:t>
      </w:r>
    </w:p>
    <w:p>
      <w:pPr>
        <w:pStyle w:val="ListParagraph"/>
        <w:numPr>
          <w:ilvl w:val="0"/>
          <w:numId w:val="2"/>
        </w:numPr>
      </w:pPr>
      <w:r>
        <w:rPr>
          <w:rFonts w:ascii="Arial" w:cs="Arial" w:eastAsia="Arial" w:hAnsi="Arial"/>
          <w:sz w:val="24"/>
          <w:szCs w:val="24"/>
        </w:rPr>
        <w:t xml:space="preserve">Seizure monitoring protocol best practices</w:t>
      </w:r>
    </w:p>
    <w:p>
      <w:pPr>
        <w:pStyle w:val="ListParagraph"/>
        <w:numPr>
          <w:ilvl w:val="0"/>
          <w:numId w:val="2"/>
        </w:numPr>
      </w:pPr>
      <w:r>
        <w:rPr>
          <w:rFonts w:ascii="Arial" w:cs="Arial" w:eastAsia="Arial" w:hAnsi="Arial"/>
          <w:sz w:val="24"/>
          <w:szCs w:val="24"/>
        </w:rPr>
        <w:t xml:space="preserve">Natural history baseline seizure frequency data</w:t>
      </w:r>
    </w:p>
    <w:p>
      <w:pPr>
        <w:pStyle w:val="ListParagraph"/>
        <w:numPr>
          <w:ilvl w:val="0"/>
          <w:numId w:val="2"/>
        </w:numPr>
      </w:pPr>
      <w:r>
        <w:rPr>
          <w:rFonts w:ascii="Arial" w:cs="Arial" w:eastAsia="Arial" w:hAnsi="Arial"/>
          <w:sz w:val="24"/>
          <w:szCs w:val="24"/>
        </w:rPr>
        <w:t xml:space="preserve">Functional cluster pathophysiology profiles</w:t>
      </w:r>
    </w:p>
    <w:p>
      <w:pPr>
        <w:pStyle w:val="ListParagraph"/>
        <w:numPr>
          <w:ilvl w:val="0"/>
          <w:numId w:val="2"/>
        </w:numPr>
      </w:pPr>
      <w:r>
        <w:rPr>
          <w:rFonts w:ascii="Arial" w:cs="Arial" w:eastAsia="Arial" w:hAnsi="Arial"/>
          <w:sz w:val="24"/>
          <w:szCs w:val="24"/>
        </w:rPr>
        <w:t xml:space="preserve">MCID and power analysis results from Stage 3</w:t>
      </w:r>
    </w:p>
    <w:p>
      <w:pPr>
        <w:pStyle w:val="ListParagraph"/>
        <w:numPr>
          <w:ilvl w:val="0"/>
          <w:numId w:val="2"/>
        </w:numPr>
      </w:pPr>
      <w:r>
        <w:rPr>
          <w:rFonts w:ascii="Arial" w:cs="Arial" w:eastAsia="Arial" w:hAnsi="Arial"/>
          <w:sz w:val="24"/>
          <w:szCs w:val="24"/>
        </w:rPr>
        <w:t xml:space="preserve">Trial design guidance documents (ICH, FDA)</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Clinical trial design planning software</w:t>
      </w:r>
    </w:p>
    <w:p>
      <w:pPr>
        <w:pStyle w:val="ListParagraph"/>
        <w:numPr>
          <w:ilvl w:val="0"/>
          <w:numId w:val="2"/>
        </w:numPr>
      </w:pPr>
      <w:r>
        <w:rPr>
          <w:rFonts w:ascii="Arial" w:cs="Arial" w:eastAsia="Arial" w:hAnsi="Arial"/>
          <w:sz w:val="24"/>
          <w:szCs w:val="24"/>
        </w:rPr>
        <w:t xml:space="preserve">Protocol development templates</w:t>
      </w:r>
    </w:p>
    <w:p>
      <w:pPr>
        <w:pStyle w:val="ListParagraph"/>
        <w:numPr>
          <w:ilvl w:val="0"/>
          <w:numId w:val="2"/>
        </w:numPr>
      </w:pPr>
      <w:r>
        <w:rPr>
          <w:rFonts w:ascii="Arial" w:cs="Arial" w:eastAsia="Arial" w:hAnsi="Arial"/>
          <w:sz w:val="24"/>
          <w:szCs w:val="24"/>
        </w:rPr>
        <w:t xml:space="preserve">FDA guidance documents on rare disease trials</w:t>
      </w:r>
    </w:p>
    <w:p>
      <w:pPr>
        <w:pStyle w:val="ListParagraph"/>
        <w:numPr>
          <w:ilvl w:val="0"/>
          <w:numId w:val="2"/>
        </w:numPr>
      </w:pPr>
      <w:r>
        <w:rPr>
          <w:rFonts w:ascii="Arial" w:cs="Arial" w:eastAsia="Arial" w:hAnsi="Arial"/>
          <w:sz w:val="24"/>
          <w:szCs w:val="24"/>
        </w:rPr>
        <w:t xml:space="preserve">ICMJE and CONSORT checklist tools</w:t>
      </w:r>
    </w:p>
    <w:p>
      <w:pPr>
        <w:pStyle w:val="ListParagraph"/>
        <w:numPr>
          <w:ilvl w:val="0"/>
          <w:numId w:val="2"/>
        </w:numPr>
      </w:pPr>
      <w:r>
        <w:rPr>
          <w:rFonts w:ascii="Arial" w:cs="Arial" w:eastAsia="Arial" w:hAnsi="Arial"/>
          <w:sz w:val="24"/>
          <w:szCs w:val="24"/>
        </w:rPr>
        <w:t xml:space="preserve">Electronic data capture (EDC) system design tools</w:t>
      </w:r>
    </w:p>
    <w:p>
      <w:pPr>
        <w:pStyle w:val="ListParagraph"/>
        <w:numPr>
          <w:ilvl w:val="0"/>
          <w:numId w:val="2"/>
        </w:numPr>
      </w:pPr>
      <w:r>
        <w:rPr>
          <w:rFonts w:ascii="Arial" w:cs="Arial" w:eastAsia="Arial" w:hAnsi="Arial"/>
          <w:sz w:val="24"/>
          <w:szCs w:val="24"/>
        </w:rPr>
        <w:t xml:space="preserve">Statistical analysis plan (SAP) templates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Should primary endpoints differ between gain-of-function and loss-of-function clusters?</w:t>
      </w:r>
    </w:p>
    <w:p>
      <w:pPr>
        <w:pStyle w:val="ListParagraph"/>
        <w:numPr>
          <w:ilvl w:val="0"/>
          <w:numId w:val="2"/>
        </w:numPr>
      </w:pPr>
      <w:r>
        <w:rPr>
          <w:rFonts w:ascii="Arial" w:cs="Arial" w:eastAsia="Arial" w:hAnsi="Arial"/>
          <w:i/>
          <w:iCs/>
          <w:sz w:val="24"/>
          <w:szCs w:val="24"/>
        </w:rPr>
        <w:t xml:space="preserve">What is the optimal visit schedule for seizure assessment in a 12-month trial?</w:t>
      </w:r>
    </w:p>
    <w:p>
      <w:pPr>
        <w:pStyle w:val="ListParagraph"/>
        <w:numPr>
          <w:ilvl w:val="0"/>
          <w:numId w:val="2"/>
        </w:numPr>
      </w:pPr>
      <w:r>
        <w:rPr>
          <w:rFonts w:ascii="Arial" w:cs="Arial" w:eastAsia="Arial" w:hAnsi="Arial"/>
          <w:i/>
          <w:iCs/>
          <w:sz w:val="24"/>
          <w:szCs w:val="24"/>
        </w:rPr>
        <w:t xml:space="preserve">How should quality of life and developmental outcomes be weighted in composite endpoints?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Detailed endpoint selection rationale document</w:t>
      </w:r>
    </w:p>
    <w:p>
      <w:pPr>
        <w:pStyle w:val="ListParagraph"/>
        <w:numPr>
          <w:ilvl w:val="0"/>
          <w:numId w:val="2"/>
        </w:numPr>
      </w:pPr>
      <w:r>
        <w:rPr>
          <w:rFonts w:ascii="Arial" w:cs="Arial" w:eastAsia="Arial" w:hAnsi="Arial"/>
          <w:sz w:val="24"/>
          <w:szCs w:val="24"/>
        </w:rPr>
        <w:t xml:space="preserve">Protocol-level endpoint specifications</w:t>
      </w:r>
    </w:p>
    <w:p>
      <w:pPr>
        <w:pStyle w:val="ListParagraph"/>
        <w:numPr>
          <w:ilvl w:val="0"/>
          <w:numId w:val="2"/>
        </w:numPr>
      </w:pPr>
      <w:r>
        <w:rPr>
          <w:rFonts w:ascii="Arial" w:cs="Arial" w:eastAsia="Arial" w:hAnsi="Arial"/>
          <w:sz w:val="24"/>
          <w:szCs w:val="24"/>
        </w:rPr>
        <w:t xml:space="preserve">Seizure monitoring and assessment guidelines</w:t>
      </w:r>
    </w:p>
    <w:p>
      <w:pPr>
        <w:pStyle w:val="ListParagraph"/>
        <w:numPr>
          <w:ilvl w:val="0"/>
          <w:numId w:val="2"/>
        </w:numPr>
      </w:pPr>
      <w:r>
        <w:rPr>
          <w:rFonts w:ascii="Arial" w:cs="Arial" w:eastAsia="Arial" w:hAnsi="Arial"/>
          <w:sz w:val="24"/>
          <w:szCs w:val="24"/>
        </w:rPr>
        <w:t xml:space="preserve">Data collection visit schedules</w:t>
      </w:r>
    </w:p>
    <w:p>
      <w:pPr>
        <w:pStyle w:val="ListParagraph"/>
        <w:numPr>
          <w:ilvl w:val="0"/>
          <w:numId w:val="2"/>
        </w:numPr>
      </w:pPr>
      <w:r>
        <w:rPr>
          <w:rFonts w:ascii="Arial" w:cs="Arial" w:eastAsia="Arial" w:hAnsi="Arial"/>
          <w:sz w:val="24"/>
          <w:szCs w:val="24"/>
        </w:rPr>
        <w:t xml:space="preserve">Statistical analysis plan (SAP) framework</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Clinical trial protocol section (PDF) with detailed endpoint definitions and supporting justification document</w:t>
      </w:r>
    </w:p>
    <w:p>
      <w:pPr>
        <w:pStyle w:val="Heading2"/>
      </w:pPr>
      <w:r>
        <w:rPr>
          <w:rFonts w:ascii="Arial" w:cs="Arial" w:eastAsia="Arial" w:hAnsi="Arial"/>
          <w:b/>
          <w:bCs/>
          <w:sz w:val="28"/>
          <w:szCs w:val="28"/>
        </w:rPr>
        <w:t xml:space="preserve">Stage 5: Synthesis &amp; Interpretation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Establish standardized seizure diary and clinical assessment templates optimized for cluster-specific trial populations. Design electronic health record (EHR) integration for real-time seizure capture, develop mobileHealth (mHealth) seizure tracking applications, and create caregiver-friendly data collection tools. Validate data quality procedures and establish thresholds for protocol deviations.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Published seizure diary validation studies</w:t>
      </w:r>
    </w:p>
    <w:p>
      <w:pPr>
        <w:pStyle w:val="ListParagraph"/>
        <w:numPr>
          <w:ilvl w:val="0"/>
          <w:numId w:val="2"/>
        </w:numPr>
      </w:pPr>
      <w:r>
        <w:rPr>
          <w:rFonts w:ascii="Arial" w:cs="Arial" w:eastAsia="Arial" w:hAnsi="Arial"/>
          <w:sz w:val="24"/>
          <w:szCs w:val="24"/>
        </w:rPr>
        <w:t xml:space="preserve">Existing DEE trial seizure assessment forms</w:t>
      </w:r>
    </w:p>
    <w:p>
      <w:pPr>
        <w:pStyle w:val="ListParagraph"/>
        <w:numPr>
          <w:ilvl w:val="0"/>
          <w:numId w:val="2"/>
        </w:numPr>
      </w:pPr>
      <w:r>
        <w:rPr>
          <w:rFonts w:ascii="Arial" w:cs="Arial" w:eastAsia="Arial" w:hAnsi="Arial"/>
          <w:sz w:val="24"/>
          <w:szCs w:val="24"/>
        </w:rPr>
        <w:t xml:space="preserve">mHealth application design specifications</w:t>
      </w:r>
    </w:p>
    <w:p>
      <w:pPr>
        <w:pStyle w:val="ListParagraph"/>
        <w:numPr>
          <w:ilvl w:val="0"/>
          <w:numId w:val="2"/>
        </w:numPr>
      </w:pPr>
      <w:r>
        <w:rPr>
          <w:rFonts w:ascii="Arial" w:cs="Arial" w:eastAsia="Arial" w:hAnsi="Arial"/>
          <w:sz w:val="24"/>
          <w:szCs w:val="24"/>
        </w:rPr>
        <w:t xml:space="preserve">EHR integration standards (HL7, FHIR)</w:t>
      </w:r>
    </w:p>
    <w:p>
      <w:pPr>
        <w:pStyle w:val="ListParagraph"/>
        <w:numPr>
          <w:ilvl w:val="0"/>
          <w:numId w:val="2"/>
        </w:numPr>
      </w:pPr>
      <w:r>
        <w:rPr>
          <w:rFonts w:ascii="Arial" w:cs="Arial" w:eastAsia="Arial" w:hAnsi="Arial"/>
          <w:sz w:val="24"/>
          <w:szCs w:val="24"/>
        </w:rPr>
        <w:t xml:space="preserve">Patient and caregiver usability studies</w:t>
      </w:r>
    </w:p>
    <w:p>
      <w:pPr>
        <w:pStyle w:val="ListParagraph"/>
        <w:numPr>
          <w:ilvl w:val="0"/>
          <w:numId w:val="2"/>
        </w:numPr>
      </w:pPr>
      <w:r>
        <w:rPr>
          <w:rFonts w:ascii="Arial" w:cs="Arial" w:eastAsia="Arial" w:hAnsi="Arial"/>
          <w:sz w:val="24"/>
          <w:szCs w:val="24"/>
        </w:rPr>
        <w:t xml:space="preserve">Data quality management best practices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REDCap electronic data capture platform</w:t>
      </w:r>
    </w:p>
    <w:p>
      <w:pPr>
        <w:pStyle w:val="ListParagraph"/>
        <w:numPr>
          <w:ilvl w:val="0"/>
          <w:numId w:val="2"/>
        </w:numPr>
      </w:pPr>
      <w:r>
        <w:rPr>
          <w:rFonts w:ascii="Arial" w:cs="Arial" w:eastAsia="Arial" w:hAnsi="Arial"/>
          <w:sz w:val="24"/>
          <w:szCs w:val="24"/>
        </w:rPr>
        <w:t xml:space="preserve">mHealth app development frameworks (React Native, Flutter)</w:t>
      </w:r>
    </w:p>
    <w:p>
      <w:pPr>
        <w:pStyle w:val="ListParagraph"/>
        <w:numPr>
          <w:ilvl w:val="0"/>
          <w:numId w:val="2"/>
        </w:numPr>
      </w:pPr>
      <w:r>
        <w:rPr>
          <w:rFonts w:ascii="Arial" w:cs="Arial" w:eastAsia="Arial" w:hAnsi="Arial"/>
          <w:sz w:val="24"/>
          <w:szCs w:val="24"/>
        </w:rPr>
        <w:t xml:space="preserve">EHR integration middleware (HL7 FHIR servers)</w:t>
      </w:r>
    </w:p>
    <w:p>
      <w:pPr>
        <w:pStyle w:val="ListParagraph"/>
        <w:numPr>
          <w:ilvl w:val="0"/>
          <w:numId w:val="2"/>
        </w:numPr>
      </w:pPr>
      <w:r>
        <w:rPr>
          <w:rFonts w:ascii="Arial" w:cs="Arial" w:eastAsia="Arial" w:hAnsi="Arial"/>
          <w:sz w:val="24"/>
          <w:szCs w:val="24"/>
        </w:rPr>
        <w:t xml:space="preserve">Seizure classification ontologies (ILAE terminology)</w:t>
      </w:r>
    </w:p>
    <w:p>
      <w:pPr>
        <w:pStyle w:val="ListParagraph"/>
        <w:numPr>
          <w:ilvl w:val="0"/>
          <w:numId w:val="2"/>
        </w:numPr>
      </w:pPr>
      <w:r>
        <w:rPr>
          <w:rFonts w:ascii="Arial" w:cs="Arial" w:eastAsia="Arial" w:hAnsi="Arial"/>
          <w:sz w:val="24"/>
          <w:szCs w:val="24"/>
        </w:rPr>
        <w:t xml:space="preserve">Mobile app usability testing tools</w:t>
      </w:r>
    </w:p>
    <w:p>
      <w:pPr>
        <w:pStyle w:val="ListParagraph"/>
        <w:numPr>
          <w:ilvl w:val="0"/>
          <w:numId w:val="2"/>
        </w:numPr>
      </w:pPr>
      <w:r>
        <w:rPr>
          <w:rFonts w:ascii="Arial" w:cs="Arial" w:eastAsia="Arial" w:hAnsi="Arial"/>
          <w:sz w:val="24"/>
          <w:szCs w:val="24"/>
        </w:rPr>
        <w:t xml:space="preserve">Data validation rule engine (CDISC standards)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How can seizure diary data be collected in a way that minimizes burden on caregivers?</w:t>
      </w:r>
    </w:p>
    <w:p>
      <w:pPr>
        <w:pStyle w:val="ListParagraph"/>
        <w:numPr>
          <w:ilvl w:val="0"/>
          <w:numId w:val="2"/>
        </w:numPr>
      </w:pPr>
      <w:r>
        <w:rPr>
          <w:rFonts w:ascii="Arial" w:cs="Arial" w:eastAsia="Arial" w:hAnsi="Arial"/>
          <w:i/>
          <w:iCs/>
          <w:sz w:val="24"/>
          <w:szCs w:val="24"/>
        </w:rPr>
        <w:t xml:space="preserve">What real-time data quality checks can identify protocol deviations early?</w:t>
      </w:r>
    </w:p>
    <w:p>
      <w:pPr>
        <w:pStyle w:val="ListParagraph"/>
        <w:numPr>
          <w:ilvl w:val="0"/>
          <w:numId w:val="2"/>
        </w:numPr>
      </w:pPr>
      <w:r>
        <w:rPr>
          <w:rFonts w:ascii="Arial" w:cs="Arial" w:eastAsia="Arial" w:hAnsi="Arial"/>
          <w:i/>
          <w:iCs/>
          <w:sz w:val="24"/>
          <w:szCs w:val="24"/>
        </w:rPr>
        <w:t xml:space="preserve">Should seizure assessment be automated via wearable devices or remain caregiver-reported?</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Standardized seizure diary template optimized for DEE</w:t>
      </w:r>
    </w:p>
    <w:p>
      <w:pPr>
        <w:pStyle w:val="ListParagraph"/>
        <w:numPr>
          <w:ilvl w:val="0"/>
          <w:numId w:val="2"/>
        </w:numPr>
      </w:pPr>
      <w:r>
        <w:rPr>
          <w:rFonts w:ascii="Arial" w:cs="Arial" w:eastAsia="Arial" w:hAnsi="Arial"/>
          <w:sz w:val="24"/>
          <w:szCs w:val="24"/>
        </w:rPr>
        <w:t xml:space="preserve">mHealth application requirements specification</w:t>
      </w:r>
    </w:p>
    <w:p>
      <w:pPr>
        <w:pStyle w:val="ListParagraph"/>
        <w:numPr>
          <w:ilvl w:val="0"/>
          <w:numId w:val="2"/>
        </w:numPr>
      </w:pPr>
      <w:r>
        <w:rPr>
          <w:rFonts w:ascii="Arial" w:cs="Arial" w:eastAsia="Arial" w:hAnsi="Arial"/>
          <w:sz w:val="24"/>
          <w:szCs w:val="24"/>
        </w:rPr>
        <w:t xml:space="preserve">EHR integration documentation</w:t>
      </w:r>
    </w:p>
    <w:p>
      <w:pPr>
        <w:pStyle w:val="ListParagraph"/>
        <w:numPr>
          <w:ilvl w:val="0"/>
          <w:numId w:val="2"/>
        </w:numPr>
      </w:pPr>
      <w:r>
        <w:rPr>
          <w:rFonts w:ascii="Arial" w:cs="Arial" w:eastAsia="Arial" w:hAnsi="Arial"/>
          <w:sz w:val="24"/>
          <w:szCs w:val="24"/>
        </w:rPr>
        <w:t xml:space="preserve">Data quality procedures and threshold specifications</w:t>
      </w:r>
    </w:p>
    <w:p>
      <w:pPr>
        <w:pStyle w:val="ListParagraph"/>
        <w:numPr>
          <w:ilvl w:val="0"/>
          <w:numId w:val="2"/>
        </w:numPr>
      </w:pPr>
      <w:r>
        <w:rPr>
          <w:rFonts w:ascii="Arial" w:cs="Arial" w:eastAsia="Arial" w:hAnsi="Arial"/>
          <w:sz w:val="24"/>
          <w:szCs w:val="24"/>
        </w:rPr>
        <w:t xml:space="preserve">Usability testing results and recommendations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Comprehensive protocol document (PDF) with embedded seizure diary templates and digital mockups</w:t>
      </w:r>
    </w:p>
    <w:p>
      <w:pPr>
        <w:pStyle w:val="Heading2"/>
      </w:pPr>
      <w:r>
        <w:rPr>
          <w:rFonts w:ascii="Arial" w:cs="Arial" w:eastAsia="Arial" w:hAnsi="Arial"/>
          <w:b/>
          <w:bCs/>
          <w:sz w:val="28"/>
          <w:szCs w:val="28"/>
        </w:rPr>
        <w:t xml:space="preserve">Stage 6: Output Generation &amp; Delivery</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Compile final endpoint recommendations and trial design specifications into comprehensive guidance document suitable for regulatory submission and trial planning. Generate publication-ready tables comparing endpoint selection across different functional clusters. Prepare recommendations for consortium-wide standardization of DEE clinical trial endpoints to enable meta-analysis and outcome harmonization across multiple trials.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All stage outputs including endpoint analyses</w:t>
      </w:r>
    </w:p>
    <w:p>
      <w:pPr>
        <w:pStyle w:val="ListParagraph"/>
        <w:numPr>
          <w:ilvl w:val="0"/>
          <w:numId w:val="2"/>
        </w:numPr>
      </w:pPr>
      <w:r>
        <w:rPr>
          <w:rFonts w:ascii="Arial" w:cs="Arial" w:eastAsia="Arial" w:hAnsi="Arial"/>
          <w:sz w:val="24"/>
          <w:szCs w:val="24"/>
        </w:rPr>
        <w:t xml:space="preserve">Functional cluster characterizations</w:t>
      </w:r>
    </w:p>
    <w:p>
      <w:pPr>
        <w:pStyle w:val="ListParagraph"/>
        <w:numPr>
          <w:ilvl w:val="0"/>
          <w:numId w:val="2"/>
        </w:numPr>
      </w:pPr>
      <w:r>
        <w:rPr>
          <w:rFonts w:ascii="Arial" w:cs="Arial" w:eastAsia="Arial" w:hAnsi="Arial"/>
          <w:sz w:val="24"/>
          <w:szCs w:val="24"/>
        </w:rPr>
        <w:t xml:space="preserve">Power analysis and sample size calculations</w:t>
      </w:r>
    </w:p>
    <w:p>
      <w:pPr>
        <w:pStyle w:val="ListParagraph"/>
        <w:numPr>
          <w:ilvl w:val="0"/>
          <w:numId w:val="2"/>
        </w:numPr>
      </w:pPr>
      <w:r>
        <w:rPr>
          <w:rFonts w:ascii="Arial" w:cs="Arial" w:eastAsia="Arial" w:hAnsi="Arial"/>
          <w:sz w:val="24"/>
          <w:szCs w:val="24"/>
        </w:rPr>
        <w:t xml:space="preserve">Seizure monitoring and assessment protocols</w:t>
      </w:r>
    </w:p>
    <w:p>
      <w:pPr>
        <w:pStyle w:val="ListParagraph"/>
        <w:numPr>
          <w:ilvl w:val="0"/>
          <w:numId w:val="2"/>
        </w:numPr>
      </w:pPr>
      <w:r>
        <w:rPr>
          <w:rFonts w:ascii="Arial" w:cs="Arial" w:eastAsia="Arial" w:hAnsi="Arial"/>
          <w:sz w:val="24"/>
          <w:szCs w:val="24"/>
        </w:rPr>
        <w:t xml:space="preserve">Regulatory guidance documents</w:t>
      </w:r>
    </w:p>
    <w:p>
      <w:pPr>
        <w:pStyle w:val="ListParagraph"/>
        <w:numPr>
          <w:ilvl w:val="0"/>
          <w:numId w:val="2"/>
        </w:numPr>
      </w:pPr>
      <w:r>
        <w:rPr>
          <w:rFonts w:ascii="Arial" w:cs="Arial" w:eastAsia="Arial" w:hAnsi="Arial"/>
          <w:sz w:val="24"/>
          <w:szCs w:val="24"/>
        </w:rPr>
        <w:t xml:space="preserve">Consortium alignment discussions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Collaborative document development (Google Docs, SharePoint)</w:t>
      </w:r>
    </w:p>
    <w:p>
      <w:pPr>
        <w:pStyle w:val="ListParagraph"/>
        <w:numPr>
          <w:ilvl w:val="0"/>
          <w:numId w:val="2"/>
        </w:numPr>
      </w:pPr>
      <w:r>
        <w:rPr>
          <w:rFonts w:ascii="Arial" w:cs="Arial" w:eastAsia="Arial" w:hAnsi="Arial"/>
          <w:sz w:val="24"/>
          <w:szCs w:val="24"/>
        </w:rPr>
        <w:t xml:space="preserve">Reference management (Mendeley, Zotero)</w:t>
      </w:r>
    </w:p>
    <w:p>
      <w:pPr>
        <w:pStyle w:val="ListParagraph"/>
        <w:numPr>
          <w:ilvl w:val="0"/>
          <w:numId w:val="2"/>
        </w:numPr>
      </w:pPr>
      <w:r>
        <w:rPr>
          <w:rFonts w:ascii="Arial" w:cs="Arial" w:eastAsia="Arial" w:hAnsi="Arial"/>
          <w:sz w:val="24"/>
          <w:szCs w:val="24"/>
        </w:rPr>
        <w:t xml:space="preserve">Statistical visualization (ggplot2, plotly)</w:t>
      </w:r>
    </w:p>
    <w:p>
      <w:pPr>
        <w:pStyle w:val="ListParagraph"/>
        <w:numPr>
          <w:ilvl w:val="0"/>
          <w:numId w:val="2"/>
        </w:numPr>
      </w:pPr>
      <w:r>
        <w:rPr>
          <w:rFonts w:ascii="Arial" w:cs="Arial" w:eastAsia="Arial" w:hAnsi="Arial"/>
          <w:sz w:val="24"/>
          <w:szCs w:val="24"/>
        </w:rPr>
        <w:t xml:space="preserve">Regulatory submission preparation tools</w:t>
      </w:r>
    </w:p>
    <w:p>
      <w:pPr>
        <w:pStyle w:val="ListParagraph"/>
        <w:numPr>
          <w:ilvl w:val="0"/>
          <w:numId w:val="2"/>
        </w:numPr>
      </w:pPr>
      <w:r>
        <w:rPr>
          <w:rFonts w:ascii="Arial" w:cs="Arial" w:eastAsia="Arial" w:hAnsi="Arial"/>
          <w:sz w:val="24"/>
          <w:szCs w:val="24"/>
        </w:rPr>
        <w:t xml:space="preserve">CONSORT guidelines checklist</w:t>
      </w:r>
    </w:p>
    <w:p>
      <w:pPr>
        <w:pStyle w:val="ListParagraph"/>
        <w:numPr>
          <w:ilvl w:val="0"/>
          <w:numId w:val="2"/>
        </w:numPr>
      </w:pPr>
      <w:r>
        <w:rPr>
          <w:rFonts w:ascii="Arial" w:cs="Arial" w:eastAsia="Arial" w:hAnsi="Arial"/>
          <w:sz w:val="24"/>
          <w:szCs w:val="24"/>
        </w:rPr>
        <w:t xml:space="preserve">Publication preparation software (LaTeX, Word)</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are the top 3-5 recommendations for standardizing DEE trial endpoints across the epilepsy research community?</w:t>
      </w:r>
    </w:p>
    <w:p>
      <w:pPr>
        <w:pStyle w:val="ListParagraph"/>
        <w:numPr>
          <w:ilvl w:val="0"/>
          <w:numId w:val="2"/>
        </w:numPr>
      </w:pPr>
      <w:r>
        <w:rPr>
          <w:rFonts w:ascii="Arial" w:cs="Arial" w:eastAsia="Arial" w:hAnsi="Arial"/>
          <w:i/>
          <w:iCs/>
          <w:sz w:val="24"/>
          <w:szCs w:val="24"/>
        </w:rPr>
        <w:t xml:space="preserve">How should endpoint recommendations differ for early-phase versus Phase 3 trials?</w:t>
      </w:r>
    </w:p>
    <w:p>
      <w:pPr>
        <w:pStyle w:val="ListParagraph"/>
        <w:numPr>
          <w:ilvl w:val="0"/>
          <w:numId w:val="2"/>
        </w:numPr>
      </w:pPr>
      <w:r>
        <w:rPr>
          <w:rFonts w:ascii="Arial" w:cs="Arial" w:eastAsia="Arial" w:hAnsi="Arial"/>
          <w:i/>
          <w:iCs/>
          <w:sz w:val="24"/>
          <w:szCs w:val="24"/>
        </w:rPr>
        <w:t xml:space="preserve">What regulatory strategies best support rare disease DEE trial approvals?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Comprehensive endpoint selection guidance document (40+ pages)</w:t>
      </w:r>
    </w:p>
    <w:p>
      <w:pPr>
        <w:pStyle w:val="ListParagraph"/>
        <w:numPr>
          <w:ilvl w:val="0"/>
          <w:numId w:val="2"/>
        </w:numPr>
      </w:pPr>
      <w:r>
        <w:rPr>
          <w:rFonts w:ascii="Arial" w:cs="Arial" w:eastAsia="Arial" w:hAnsi="Arial"/>
          <w:sz w:val="24"/>
          <w:szCs w:val="24"/>
        </w:rPr>
        <w:t xml:space="preserve">Cluster-specific endpoint recommendation tables</w:t>
      </w:r>
    </w:p>
    <w:p>
      <w:pPr>
        <w:pStyle w:val="ListParagraph"/>
        <w:numPr>
          <w:ilvl w:val="0"/>
          <w:numId w:val="2"/>
        </w:numPr>
      </w:pPr>
      <w:r>
        <w:rPr>
          <w:rFonts w:ascii="Arial" w:cs="Arial" w:eastAsia="Arial" w:hAnsi="Arial"/>
          <w:sz w:val="24"/>
          <w:szCs w:val="24"/>
        </w:rPr>
        <w:t xml:space="preserve">Regulatory submission strategy recommendations</w:t>
      </w:r>
    </w:p>
    <w:p>
      <w:pPr>
        <w:pStyle w:val="ListParagraph"/>
        <w:numPr>
          <w:ilvl w:val="0"/>
          <w:numId w:val="2"/>
        </w:numPr>
      </w:pPr>
      <w:r>
        <w:rPr>
          <w:rFonts w:ascii="Arial" w:cs="Arial" w:eastAsia="Arial" w:hAnsi="Arial"/>
          <w:sz w:val="24"/>
          <w:szCs w:val="24"/>
        </w:rPr>
        <w:t xml:space="preserve">Consortium standardization proposal</w:t>
      </w:r>
    </w:p>
    <w:p>
      <w:pPr>
        <w:pStyle w:val="ListParagraph"/>
        <w:numPr>
          <w:ilvl w:val="0"/>
          <w:numId w:val="2"/>
        </w:numPr>
      </w:pPr>
      <w:r>
        <w:rPr>
          <w:rFonts w:ascii="Arial" w:cs="Arial" w:eastAsia="Arial" w:hAnsi="Arial"/>
          <w:sz w:val="24"/>
          <w:szCs w:val="24"/>
        </w:rPr>
        <w:t xml:space="preserve">Publication-ready comparison figures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Regulatory guidance document (PDF) with supplementary data tables, recommendations summary, and consortium position statement</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pPr>
      <w:r>
        <w:rPr>
          <w:rFonts w:ascii="Arial" w:cs="Arial" w:eastAsia="Arial" w:hAnsi="Arial"/>
          <w:sz w:val="24"/>
          <w:szCs w:val="24"/>
        </w:rPr>
        <w:t xml:space="preserve">PubMed/MEDLINE search API - comprehensive medical literature database</w:t>
      </w:r>
    </w:p>
    <w:p>
      <w:pPr>
        <w:pStyle w:val="ListParagraph"/>
        <w:numPr>
          <w:ilvl w:val="0"/>
          <w:numId w:val="2"/>
        </w:numPr>
      </w:pPr>
      <w:r>
        <w:rPr>
          <w:rFonts w:ascii="Arial" w:cs="Arial" w:eastAsia="Arial" w:hAnsi="Arial"/>
          <w:sz w:val="24"/>
          <w:szCs w:val="24"/>
        </w:rPr>
        <w:t xml:space="preserve">ClinicalTrials.gov XML API - clinical trial protocol and results database</w:t>
      </w:r>
    </w:p>
    <w:p>
      <w:pPr>
        <w:pStyle w:val="ListParagraph"/>
        <w:numPr>
          <w:ilvl w:val="0"/>
          <w:numId w:val="2"/>
        </w:numPr>
      </w:pPr>
      <w:r>
        <w:rPr>
          <w:rFonts w:ascii="Arial" w:cs="Arial" w:eastAsia="Arial" w:hAnsi="Arial"/>
          <w:sz w:val="24"/>
          <w:szCs w:val="24"/>
        </w:rPr>
        <w:t xml:space="preserve">EpiCare Centers database - specialized epilepsy care registry data</w:t>
      </w:r>
    </w:p>
    <w:p>
      <w:pPr>
        <w:pStyle w:val="ListParagraph"/>
        <w:numPr>
          <w:ilvl w:val="0"/>
          <w:numId w:val="2"/>
        </w:numPr>
      </w:pPr>
      <w:r>
        <w:rPr>
          <w:rFonts w:ascii="Arial" w:cs="Arial" w:eastAsia="Arial" w:hAnsi="Arial"/>
          <w:sz w:val="24"/>
          <w:szCs w:val="24"/>
        </w:rPr>
        <w:t xml:space="preserve">Epilepsy Foundation public registries - patient-reported outcome data</w:t>
      </w:r>
    </w:p>
    <w:p>
      <w:pPr>
        <w:pStyle w:val="ListParagraph"/>
        <w:numPr>
          <w:ilvl w:val="0"/>
          <w:numId w:val="2"/>
        </w:numPr>
      </w:pPr>
      <w:r>
        <w:rPr>
          <w:rFonts w:ascii="Arial" w:cs="Arial" w:eastAsia="Arial" w:hAnsi="Arial"/>
          <w:sz w:val="24"/>
          <w:szCs w:val="24"/>
        </w:rPr>
        <w:t xml:space="preserve">Beautiful Soup web scraping - automated clinical document extraction</w:t>
      </w:r>
    </w:p>
    <w:p>
      <w:pPr>
        <w:pStyle w:val="ListParagraph"/>
        <w:numPr>
          <w:ilvl w:val="0"/>
          <w:numId w:val="2"/>
        </w:numPr>
      </w:pPr>
      <w:r>
        <w:rPr>
          <w:rFonts w:ascii="Arial" w:cs="Arial" w:eastAsia="Arial" w:hAnsi="Arial"/>
          <w:sz w:val="24"/>
          <w:szCs w:val="24"/>
        </w:rPr>
        <w:t xml:space="preserve">Scrapy web scraping framework - large-scale trial document mining</w:t>
      </w:r>
    </w:p>
    <w:p>
      <w:pPr>
        <w:pStyle w:val="ListParagraph"/>
        <w:numPr>
          <w:ilvl w:val="0"/>
          <w:numId w:val="2"/>
        </w:numPr>
      </w:pPr>
      <w:r>
        <w:rPr>
          <w:rFonts w:ascii="Arial" w:cs="Arial" w:eastAsia="Arial" w:hAnsi="Arial"/>
          <w:sz w:val="24"/>
          <w:szCs w:val="24"/>
        </w:rPr>
        <w:t xml:space="preserve">EndNote reference management - citation and document organization</w:t>
      </w:r>
    </w:p>
    <w:p>
      <w:pPr>
        <w:pStyle w:val="ListParagraph"/>
        <w:numPr>
          <w:ilvl w:val="0"/>
          <w:numId w:val="2"/>
        </w:numPr>
      </w:pPr>
      <w:r>
        <w:rPr>
          <w:rFonts w:ascii="Arial" w:cs="Arial" w:eastAsia="Arial" w:hAnsi="Arial"/>
          <w:sz w:val="24"/>
          <w:szCs w:val="24"/>
        </w:rPr>
        <w:t xml:space="preserve">Zotero collaborative reference tool - shared research database</w:t>
      </w:r>
    </w:p>
    <w:p>
      <w:pPr>
        <w:pStyle w:val="ListParagraph"/>
        <w:numPr>
          <w:ilvl w:val="0"/>
          <w:numId w:val="2"/>
        </w:numPr>
      </w:pPr>
      <w:r>
        <w:rPr>
          <w:rFonts w:ascii="Arial" w:cs="Arial" w:eastAsia="Arial" w:hAnsi="Arial"/>
          <w:sz w:val="24"/>
          <w:szCs w:val="24"/>
        </w:rPr>
        <w:t xml:space="preserve">Neo4j graph database - genotype-phenotype relationship mapping</w:t>
      </w:r>
    </w:p>
    <w:p>
      <w:pPr>
        <w:pStyle w:val="ListParagraph"/>
        <w:numPr>
          <w:ilvl w:val="0"/>
          <w:numId w:val="2"/>
        </w:numPr>
      </w:pPr>
      <w:r>
        <w:rPr>
          <w:rFonts w:ascii="Arial" w:cs="Arial" w:eastAsia="Arial" w:hAnsi="Arial"/>
          <w:sz w:val="24"/>
          <w:szCs w:val="24"/>
        </w:rPr>
        <w:t xml:space="preserve">KEGG pathway database - mechanistic pathway information</w:t>
      </w:r>
    </w:p>
    <w:p>
      <w:pPr>
        <w:pStyle w:val="ListParagraph"/>
        <w:numPr>
          <w:ilvl w:val="0"/>
          <w:numId w:val="2"/>
        </w:numPr>
      </w:pPr>
      <w:r>
        <w:rPr>
          <w:rFonts w:ascii="Arial" w:cs="Arial" w:eastAsia="Arial" w:hAnsi="Arial"/>
          <w:sz w:val="24"/>
          <w:szCs w:val="24"/>
        </w:rPr>
        <w:t xml:space="preserve">Reactome database - human biological pathways</w:t>
      </w:r>
    </w:p>
    <w:p>
      <w:pPr>
        <w:pStyle w:val="ListParagraph"/>
        <w:numPr>
          <w:ilvl w:val="0"/>
          <w:numId w:val="2"/>
        </w:numPr>
      </w:pPr>
      <w:r>
        <w:rPr>
          <w:rFonts w:ascii="Arial" w:cs="Arial" w:eastAsia="Arial" w:hAnsi="Arial"/>
          <w:sz w:val="24"/>
          <w:szCs w:val="24"/>
        </w:rPr>
        <w:t xml:space="preserve">R stats package - statistical power and effect size analysis</w:t>
      </w:r>
    </w:p>
    <w:p>
      <w:pPr>
        <w:pStyle w:val="ListParagraph"/>
        <w:numPr>
          <w:ilvl w:val="0"/>
          <w:numId w:val="2"/>
        </w:numPr>
      </w:pPr>
      <w:r>
        <w:rPr>
          <w:rFonts w:ascii="Arial" w:cs="Arial" w:eastAsia="Arial" w:hAnsi="Arial"/>
          <w:sz w:val="24"/>
          <w:szCs w:val="24"/>
        </w:rPr>
        <w:t xml:space="preserve">G*Power software - sample size and power calculation</w:t>
      </w:r>
    </w:p>
    <w:p>
      <w:pPr>
        <w:pStyle w:val="ListParagraph"/>
        <w:numPr>
          <w:ilvl w:val="0"/>
          <w:numId w:val="2"/>
        </w:numPr>
      </w:pPr>
      <w:r>
        <w:rPr>
          <w:rFonts w:ascii="Arial" w:cs="Arial" w:eastAsia="Arial" w:hAnsi="Arial"/>
          <w:sz w:val="24"/>
          <w:szCs w:val="24"/>
        </w:rPr>
        <w:t xml:space="preserve">Python scipy.stats - statistical distributions and hypothesis testing</w:t>
      </w:r>
    </w:p>
    <w:p>
      <w:pPr>
        <w:pStyle w:val="ListParagraph"/>
        <w:numPr>
          <w:ilvl w:val="0"/>
          <w:numId w:val="2"/>
        </w:numPr>
      </w:pPr>
      <w:r>
        <w:rPr>
          <w:rFonts w:ascii="Arial" w:cs="Arial" w:eastAsia="Arial" w:hAnsi="Arial"/>
          <w:sz w:val="24"/>
          <w:szCs w:val="24"/>
        </w:rPr>
        <w:t xml:space="preserve">RevMan meta-analysis - systematic review and meta-analysis</w:t>
      </w:r>
    </w:p>
    <w:p>
      <w:pPr>
        <w:pStyle w:val="ListParagraph"/>
        <w:numPr>
          <w:ilvl w:val="0"/>
          <w:numId w:val="2"/>
        </w:numPr>
      </w:pPr>
      <w:r>
        <w:rPr>
          <w:rFonts w:ascii="Arial" w:cs="Arial" w:eastAsia="Arial" w:hAnsi="Arial"/>
          <w:sz w:val="24"/>
          <w:szCs w:val="24"/>
        </w:rPr>
        <w:t xml:space="preserve">Comprehensive Meta-Analysis (CMA) - effect size pooling</w:t>
      </w:r>
    </w:p>
    <w:p>
      <w:pPr>
        <w:pStyle w:val="ListParagraph"/>
        <w:numPr>
          <w:ilvl w:val="0"/>
          <w:numId w:val="2"/>
        </w:numPr>
      </w:pPr>
      <w:r>
        <w:rPr>
          <w:rFonts w:ascii="Arial" w:cs="Arial" w:eastAsia="Arial" w:hAnsi="Arial"/>
          <w:sz w:val="24"/>
          <w:szCs w:val="24"/>
        </w:rPr>
        <w:t xml:space="preserve">Clinical trial design planning software - protocol development</w:t>
      </w:r>
    </w:p>
    <w:p>
      <w:pPr>
        <w:pStyle w:val="ListParagraph"/>
        <w:numPr>
          <w:ilvl w:val="0"/>
          <w:numId w:val="2"/>
        </w:numPr>
      </w:pPr>
      <w:r>
        <w:rPr>
          <w:rFonts w:ascii="Arial" w:cs="Arial" w:eastAsia="Arial" w:hAnsi="Arial"/>
          <w:sz w:val="24"/>
          <w:szCs w:val="24"/>
        </w:rPr>
        <w:t xml:space="preserve">FDA guidance documents - regulatory requirements for rare diseases</w:t>
      </w:r>
    </w:p>
    <w:p>
      <w:pPr>
        <w:pStyle w:val="ListParagraph"/>
        <w:numPr>
          <w:ilvl w:val="0"/>
          <w:numId w:val="2"/>
        </w:numPr>
      </w:pPr>
      <w:r>
        <w:rPr>
          <w:rFonts w:ascii="Arial" w:cs="Arial" w:eastAsia="Arial" w:hAnsi="Arial"/>
          <w:sz w:val="24"/>
          <w:szCs w:val="24"/>
        </w:rPr>
        <w:t xml:space="preserve">ICMJE and CONSORT checklist - reporting standards compliance</w:t>
      </w:r>
    </w:p>
    <w:p>
      <w:pPr>
        <w:pStyle w:val="ListParagraph"/>
        <w:numPr>
          <w:ilvl w:val="0"/>
          <w:numId w:val="2"/>
        </w:numPr>
      </w:pPr>
      <w:r>
        <w:rPr>
          <w:rFonts w:ascii="Arial" w:cs="Arial" w:eastAsia="Arial" w:hAnsi="Arial"/>
          <w:sz w:val="24"/>
          <w:szCs w:val="24"/>
        </w:rPr>
        <w:t xml:space="preserve">REDCap electronic data capture - clinical trial data management</w:t>
      </w:r>
    </w:p>
    <w:p>
      <w:pPr>
        <w:pStyle w:val="ListParagraph"/>
        <w:numPr>
          <w:ilvl w:val="0"/>
          <w:numId w:val="2"/>
        </w:numPr>
      </w:pPr>
      <w:r>
        <w:rPr>
          <w:rFonts w:ascii="Arial" w:cs="Arial" w:eastAsia="Arial" w:hAnsi="Arial"/>
          <w:sz w:val="24"/>
          <w:szCs w:val="24"/>
        </w:rPr>
        <w:t xml:space="preserve">React Native mobile framework - cross-platform app development</w:t>
      </w:r>
    </w:p>
    <w:p>
      <w:pPr>
        <w:pStyle w:val="ListParagraph"/>
        <w:numPr>
          <w:ilvl w:val="0"/>
          <w:numId w:val="2"/>
        </w:numPr>
      </w:pPr>
      <w:r>
        <w:rPr>
          <w:rFonts w:ascii="Arial" w:cs="Arial" w:eastAsia="Arial" w:hAnsi="Arial"/>
          <w:sz w:val="24"/>
          <w:szCs w:val="24"/>
        </w:rPr>
        <w:t xml:space="preserve">Flutter mobile framework - native performance app development</w:t>
      </w:r>
    </w:p>
    <w:p>
      <w:pPr>
        <w:pStyle w:val="ListParagraph"/>
        <w:numPr>
          <w:ilvl w:val="0"/>
          <w:numId w:val="2"/>
        </w:numPr>
      </w:pPr>
      <w:r>
        <w:rPr>
          <w:rFonts w:ascii="Arial" w:cs="Arial" w:eastAsia="Arial" w:hAnsi="Arial"/>
          <w:sz w:val="24"/>
          <w:szCs w:val="24"/>
        </w:rPr>
        <w:t xml:space="preserve">HL7 FHIR servers - healthcare data interoperability standards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2026-03-25T18:23:23.061Z</dcterms:created>
  <dcterms:modified xsi:type="dcterms:W3CDTF">2026-03-25T18:23:23.061Z</dcterms:modified>
</cp:coreProperties>
</file>

<file path=docProps/custom.xml><?xml version="1.0" encoding="utf-8"?>
<Properties xmlns="http://schemas.openxmlformats.org/officeDocument/2006/custom-properties" xmlns:vt="http://schemas.openxmlformats.org/officeDocument/2006/docPropsVTypes"/>
</file>