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#083: DEE Blood and CSF Biomarker Discovery &amp; Validation</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From the Angelini data, identify potential blood-based or CSF-based biomarkers by cross-referencing the RNA-seq molecular signatures with published biofluid proteomics and metabolomics studies for epilepsy to enable pharmacodynamic monitoring in future clinical trials.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From the Angelini data, identify potential blood-based or CSF-based biomarkers by cross-referencing the RNA-seq molecular signatures with published biofluid proteomics and metabolomics studies for epilepsy to enable pharmacodynamic monitoring in future clinical trials.</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Very High - Requires integration of transcriptomics, proteomics, metabolomics, and biofluid analysis with clinical cohort validation and biomarker qualification</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curate the complete Angelini DEE RNA-seq dataset including transcript abundance estimates, differential expression statistics, and alternative splicing data. Perform comprehensive quality control including batch effect assessment, outlier detection, and normalization validation. Establish baseline gene expression signatures for each DEE functional cluster and compare to normal control iPSC-derived neurons.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RNA-seq raw count matrices</w:t>
      </w:r>
    </w:p>
    <w:p>
      <w:pPr>
        <w:pStyle w:val="ListParagraph"/>
        <w:numPr>
          <w:ilvl w:val="0"/>
          <w:numId w:val="2"/>
        </w:numPr>
      </w:pPr>
      <w:r>
        <w:rPr>
          <w:rFonts w:ascii="Arial" w:cs="Arial" w:eastAsia="Arial" w:hAnsi="Arial"/>
          <w:sz w:val="24"/>
          <w:szCs w:val="24"/>
        </w:rPr>
        <w:t xml:space="preserve">Transcript abundance estimates (TPM/FPKM)</w:t>
      </w:r>
    </w:p>
    <w:p>
      <w:pPr>
        <w:pStyle w:val="ListParagraph"/>
        <w:numPr>
          <w:ilvl w:val="0"/>
          <w:numId w:val="2"/>
        </w:numPr>
      </w:pPr>
      <w:r>
        <w:rPr>
          <w:rFonts w:ascii="Arial" w:cs="Arial" w:eastAsia="Arial" w:hAnsi="Arial"/>
          <w:sz w:val="24"/>
          <w:szCs w:val="24"/>
        </w:rPr>
        <w:t xml:space="preserve">Differential expression results (DESeq2/edgeR outputs)</w:t>
      </w:r>
    </w:p>
    <w:p>
      <w:pPr>
        <w:pStyle w:val="ListParagraph"/>
        <w:numPr>
          <w:ilvl w:val="0"/>
          <w:numId w:val="2"/>
        </w:numPr>
      </w:pPr>
      <w:r>
        <w:rPr>
          <w:rFonts w:ascii="Arial" w:cs="Arial" w:eastAsia="Arial" w:hAnsi="Arial"/>
          <w:sz w:val="24"/>
          <w:szCs w:val="24"/>
        </w:rPr>
        <w:t xml:space="preserve">Quality control metrics from RNA-seq processing</w:t>
      </w:r>
    </w:p>
    <w:p>
      <w:pPr>
        <w:pStyle w:val="ListParagraph"/>
        <w:numPr>
          <w:ilvl w:val="0"/>
          <w:numId w:val="2"/>
        </w:numPr>
      </w:pPr>
      <w:r>
        <w:rPr>
          <w:rFonts w:ascii="Arial" w:cs="Arial" w:eastAsia="Arial" w:hAnsi="Arial"/>
          <w:sz w:val="24"/>
          <w:szCs w:val="24"/>
        </w:rPr>
        <w:t xml:space="preserve">Sample metadata (genotype, phenotype, batch info)</w:t>
      </w:r>
    </w:p>
    <w:p>
      <w:pPr>
        <w:pStyle w:val="ListParagraph"/>
        <w:numPr>
          <w:ilvl w:val="0"/>
          <w:numId w:val="2"/>
        </w:numPr>
      </w:pPr>
      <w:r>
        <w:rPr>
          <w:rFonts w:ascii="Arial" w:cs="Arial" w:eastAsia="Arial" w:hAnsi="Arial"/>
          <w:sz w:val="24"/>
          <w:szCs w:val="24"/>
        </w:rPr>
        <w:t xml:space="preserve">Normal control expression reference datasets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DESeq2 normalization and statistical testing</w:t>
      </w:r>
    </w:p>
    <w:p>
      <w:pPr>
        <w:pStyle w:val="ListParagraph"/>
        <w:numPr>
          <w:ilvl w:val="0"/>
          <w:numId w:val="2"/>
        </w:numPr>
      </w:pPr>
      <w:r>
        <w:rPr>
          <w:rFonts w:ascii="Arial" w:cs="Arial" w:eastAsia="Arial" w:hAnsi="Arial"/>
          <w:sz w:val="24"/>
          <w:szCs w:val="24"/>
        </w:rPr>
        <w:t xml:space="preserve">edgeR gene expression analysis</w:t>
      </w:r>
    </w:p>
    <w:p>
      <w:pPr>
        <w:pStyle w:val="ListParagraph"/>
        <w:numPr>
          <w:ilvl w:val="0"/>
          <w:numId w:val="2"/>
        </w:numPr>
      </w:pPr>
      <w:r>
        <w:rPr>
          <w:rFonts w:ascii="Arial" w:cs="Arial" w:eastAsia="Arial" w:hAnsi="Arial"/>
          <w:sz w:val="24"/>
          <w:szCs w:val="24"/>
        </w:rPr>
        <w:t xml:space="preserve">FastQC quality control</w:t>
      </w:r>
    </w:p>
    <w:p>
      <w:pPr>
        <w:pStyle w:val="ListParagraph"/>
        <w:numPr>
          <w:ilvl w:val="0"/>
          <w:numId w:val="2"/>
        </w:numPr>
      </w:pPr>
      <w:r>
        <w:rPr>
          <w:rFonts w:ascii="Arial" w:cs="Arial" w:eastAsia="Arial" w:hAnsi="Arial"/>
          <w:sz w:val="24"/>
          <w:szCs w:val="24"/>
        </w:rPr>
        <w:t xml:space="preserve">Samtools for BAM file processing</w:t>
      </w:r>
    </w:p>
    <w:p>
      <w:pPr>
        <w:pStyle w:val="ListParagraph"/>
        <w:numPr>
          <w:ilvl w:val="0"/>
          <w:numId w:val="2"/>
        </w:numPr>
      </w:pPr>
      <w:r>
        <w:rPr>
          <w:rFonts w:ascii="Arial" w:cs="Arial" w:eastAsia="Arial" w:hAnsi="Arial"/>
          <w:sz w:val="24"/>
          <w:szCs w:val="24"/>
        </w:rPr>
        <w:t xml:space="preserve">STAR/hisat2 alignment statistics</w:t>
      </w:r>
    </w:p>
    <w:p>
      <w:pPr>
        <w:pStyle w:val="ListParagraph"/>
        <w:numPr>
          <w:ilvl w:val="0"/>
          <w:numId w:val="2"/>
        </w:numPr>
      </w:pPr>
      <w:r>
        <w:rPr>
          <w:rFonts w:ascii="Arial" w:cs="Arial" w:eastAsia="Arial" w:hAnsi="Arial"/>
          <w:sz w:val="24"/>
          <w:szCs w:val="24"/>
        </w:rPr>
        <w:t xml:space="preserve">ComBat batch effect correction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most differentially expressed genes in each Angelini DEE functional cluster?</w:t>
      </w:r>
    </w:p>
    <w:p>
      <w:pPr>
        <w:pStyle w:val="ListParagraph"/>
        <w:numPr>
          <w:ilvl w:val="0"/>
          <w:numId w:val="2"/>
        </w:numPr>
      </w:pPr>
      <w:r>
        <w:rPr>
          <w:rFonts w:ascii="Arial" w:cs="Arial" w:eastAsia="Arial" w:hAnsi="Arial"/>
          <w:i/>
          <w:iCs/>
          <w:sz w:val="24"/>
          <w:szCs w:val="24"/>
        </w:rPr>
        <w:t xml:space="preserve">How consistent are expression signatures within a cluster compared across different neural cell types?</w:t>
      </w:r>
    </w:p>
    <w:p>
      <w:pPr>
        <w:pStyle w:val="ListParagraph"/>
        <w:numPr>
          <w:ilvl w:val="0"/>
          <w:numId w:val="2"/>
        </w:numPr>
      </w:pPr>
      <w:r>
        <w:rPr>
          <w:rFonts w:ascii="Arial" w:cs="Arial" w:eastAsia="Arial" w:hAnsi="Arial"/>
          <w:i/>
          <w:iCs/>
          <w:sz w:val="24"/>
          <w:szCs w:val="24"/>
        </w:rPr>
        <w:t xml:space="preserve">Which genes show the largest fold-changes between gain-of-function and loss-of-function variants?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Curated RNA-seq expression matrix (normalized log2 counts)</w:t>
      </w:r>
    </w:p>
    <w:p>
      <w:pPr>
        <w:pStyle w:val="ListParagraph"/>
        <w:numPr>
          <w:ilvl w:val="0"/>
          <w:numId w:val="2"/>
        </w:numPr>
      </w:pPr>
      <w:r>
        <w:rPr>
          <w:rFonts w:ascii="Arial" w:cs="Arial" w:eastAsia="Arial" w:hAnsi="Arial"/>
          <w:sz w:val="24"/>
          <w:szCs w:val="24"/>
        </w:rPr>
        <w:t xml:space="preserve">Principal component analysis visualization</w:t>
      </w:r>
    </w:p>
    <w:p>
      <w:pPr>
        <w:pStyle w:val="ListParagraph"/>
        <w:numPr>
          <w:ilvl w:val="0"/>
          <w:numId w:val="2"/>
        </w:numPr>
      </w:pPr>
      <w:r>
        <w:rPr>
          <w:rFonts w:ascii="Arial" w:cs="Arial" w:eastAsia="Arial" w:hAnsi="Arial"/>
          <w:sz w:val="24"/>
          <w:szCs w:val="24"/>
        </w:rPr>
        <w:t xml:space="preserve">Differentially expressed gene lists by cluster (FDR &lt; 0.05)</w:t>
      </w:r>
    </w:p>
    <w:p>
      <w:pPr>
        <w:pStyle w:val="ListParagraph"/>
        <w:numPr>
          <w:ilvl w:val="0"/>
          <w:numId w:val="2"/>
        </w:numPr>
      </w:pPr>
      <w:r>
        <w:rPr>
          <w:rFonts w:ascii="Arial" w:cs="Arial" w:eastAsia="Arial" w:hAnsi="Arial"/>
          <w:sz w:val="24"/>
          <w:szCs w:val="24"/>
        </w:rPr>
        <w:t xml:space="preserve">Batch effect assessment and correction verification</w:t>
      </w:r>
    </w:p>
    <w:p>
      <w:pPr>
        <w:pStyle w:val="ListParagraph"/>
        <w:numPr>
          <w:ilvl w:val="0"/>
          <w:numId w:val="2"/>
        </w:numPr>
      </w:pPr>
      <w:r>
        <w:rPr>
          <w:rFonts w:ascii="Arial" w:cs="Arial" w:eastAsia="Arial" w:hAnsi="Arial"/>
          <w:sz w:val="24"/>
          <w:szCs w:val="24"/>
        </w:rPr>
        <w:t xml:space="preserve">Gene expression quality control report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HDF5 expression matrix with metadata, CSV differential expression tables, and PDF QC report</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Systematically search biofluid proteomics literature for epilepsy-associated proteins measured in blood serum, plasma, or cerebrospinal fluid. Compile proteomics datasets from published studies using mass spectrometry platforms. Cross-reference with metabolomics studies identifying altered metabolic pathways in epilepsy. Extract protein identifiers and metabolite annotations to map back to Angelini transcriptome.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PubMed search for epilepsy proteomics studies</w:t>
      </w:r>
    </w:p>
    <w:p>
      <w:pPr>
        <w:pStyle w:val="ListParagraph"/>
        <w:numPr>
          <w:ilvl w:val="0"/>
          <w:numId w:val="2"/>
        </w:numPr>
      </w:pPr>
      <w:r>
        <w:rPr>
          <w:rFonts w:ascii="Arial" w:cs="Arial" w:eastAsia="Arial" w:hAnsi="Arial"/>
          <w:sz w:val="24"/>
          <w:szCs w:val="24"/>
        </w:rPr>
        <w:t xml:space="preserve">Mass spectrometry proteomics datasets</w:t>
      </w:r>
    </w:p>
    <w:p>
      <w:pPr>
        <w:pStyle w:val="ListParagraph"/>
        <w:numPr>
          <w:ilvl w:val="0"/>
          <w:numId w:val="2"/>
        </w:numPr>
      </w:pPr>
      <w:r>
        <w:rPr>
          <w:rFonts w:ascii="Arial" w:cs="Arial" w:eastAsia="Arial" w:hAnsi="Arial"/>
          <w:sz w:val="24"/>
          <w:szCs w:val="24"/>
        </w:rPr>
        <w:t xml:space="preserve">CSF protein quantification studies</w:t>
      </w:r>
    </w:p>
    <w:p>
      <w:pPr>
        <w:pStyle w:val="ListParagraph"/>
        <w:numPr>
          <w:ilvl w:val="0"/>
          <w:numId w:val="2"/>
        </w:numPr>
      </w:pPr>
      <w:r>
        <w:rPr>
          <w:rFonts w:ascii="Arial" w:cs="Arial" w:eastAsia="Arial" w:hAnsi="Arial"/>
          <w:sz w:val="24"/>
          <w:szCs w:val="24"/>
        </w:rPr>
        <w:t xml:space="preserve">Blood biomarker discovery studies</w:t>
      </w:r>
    </w:p>
    <w:p>
      <w:pPr>
        <w:pStyle w:val="ListParagraph"/>
        <w:numPr>
          <w:ilvl w:val="0"/>
          <w:numId w:val="2"/>
        </w:numPr>
      </w:pPr>
      <w:r>
        <w:rPr>
          <w:rFonts w:ascii="Arial" w:cs="Arial" w:eastAsia="Arial" w:hAnsi="Arial"/>
          <w:sz w:val="24"/>
          <w:szCs w:val="24"/>
        </w:rPr>
        <w:t xml:space="preserve">Metabolomics pathway databases (HMDB, KEGG)</w:t>
      </w:r>
    </w:p>
    <w:p>
      <w:pPr>
        <w:pStyle w:val="ListParagraph"/>
        <w:numPr>
          <w:ilvl w:val="0"/>
          <w:numId w:val="2"/>
        </w:numPr>
      </w:pPr>
      <w:r>
        <w:rPr>
          <w:rFonts w:ascii="Arial" w:cs="Arial" w:eastAsia="Arial" w:hAnsi="Arial"/>
          <w:sz w:val="24"/>
          <w:szCs w:val="24"/>
        </w:rPr>
        <w:t xml:space="preserve">Published biomarker validation studies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PubMed/MEDLINE API search</w:t>
      </w:r>
    </w:p>
    <w:p>
      <w:pPr>
        <w:pStyle w:val="ListParagraph"/>
        <w:numPr>
          <w:ilvl w:val="0"/>
          <w:numId w:val="2"/>
        </w:numPr>
      </w:pPr>
      <w:r>
        <w:rPr>
          <w:rFonts w:ascii="Arial" w:cs="Arial" w:eastAsia="Arial" w:hAnsi="Arial"/>
          <w:sz w:val="24"/>
          <w:szCs w:val="24"/>
        </w:rPr>
        <w:t xml:space="preserve">PeptideAtlas proteomics database</w:t>
      </w:r>
    </w:p>
    <w:p>
      <w:pPr>
        <w:pStyle w:val="ListParagraph"/>
        <w:numPr>
          <w:ilvl w:val="0"/>
          <w:numId w:val="2"/>
        </w:numPr>
      </w:pPr>
      <w:r>
        <w:rPr>
          <w:rFonts w:ascii="Arial" w:cs="Arial" w:eastAsia="Arial" w:hAnsi="Arial"/>
          <w:sz w:val="24"/>
          <w:szCs w:val="24"/>
        </w:rPr>
        <w:t xml:space="preserve">PRIDE proteomics repository</w:t>
      </w:r>
    </w:p>
    <w:p>
      <w:pPr>
        <w:pStyle w:val="ListParagraph"/>
        <w:numPr>
          <w:ilvl w:val="0"/>
          <w:numId w:val="2"/>
        </w:numPr>
      </w:pPr>
      <w:r>
        <w:rPr>
          <w:rFonts w:ascii="Arial" w:cs="Arial" w:eastAsia="Arial" w:hAnsi="Arial"/>
          <w:sz w:val="24"/>
          <w:szCs w:val="24"/>
        </w:rPr>
        <w:t xml:space="preserve">Human Metabolome Database (HMDB)</w:t>
      </w:r>
    </w:p>
    <w:p>
      <w:pPr>
        <w:pStyle w:val="ListParagraph"/>
        <w:numPr>
          <w:ilvl w:val="0"/>
          <w:numId w:val="2"/>
        </w:numPr>
      </w:pPr>
      <w:r>
        <w:rPr>
          <w:rFonts w:ascii="Arial" w:cs="Arial" w:eastAsia="Arial" w:hAnsi="Arial"/>
          <w:sz w:val="24"/>
          <w:szCs w:val="24"/>
        </w:rPr>
        <w:t xml:space="preserve">KEGG pathway database</w:t>
      </w:r>
    </w:p>
    <w:p>
      <w:pPr>
        <w:pStyle w:val="ListParagraph"/>
        <w:numPr>
          <w:ilvl w:val="0"/>
          <w:numId w:val="2"/>
        </w:numPr>
      </w:pPr>
      <w:r>
        <w:rPr>
          <w:rFonts w:ascii="Arial" w:cs="Arial" w:eastAsia="Arial" w:hAnsi="Arial"/>
          <w:sz w:val="24"/>
          <w:szCs w:val="24"/>
        </w:rPr>
        <w:t xml:space="preserve">Reactome pathway annotations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serum proteins have been validated as epilepsy biomarkers in prospective studies?</w:t>
      </w:r>
    </w:p>
    <w:p>
      <w:pPr>
        <w:pStyle w:val="ListParagraph"/>
        <w:numPr>
          <w:ilvl w:val="0"/>
          <w:numId w:val="2"/>
        </w:numPr>
      </w:pPr>
      <w:r>
        <w:rPr>
          <w:rFonts w:ascii="Arial" w:cs="Arial" w:eastAsia="Arial" w:hAnsi="Arial"/>
          <w:i/>
          <w:iCs/>
          <w:sz w:val="24"/>
          <w:szCs w:val="24"/>
        </w:rPr>
        <w:t xml:space="preserve">What CSF protein abnormalities are most consistently observed across epilepsy types?</w:t>
      </w:r>
    </w:p>
    <w:p>
      <w:pPr>
        <w:pStyle w:val="ListParagraph"/>
        <w:numPr>
          <w:ilvl w:val="0"/>
          <w:numId w:val="2"/>
        </w:numPr>
      </w:pPr>
      <w:r>
        <w:rPr>
          <w:rFonts w:ascii="Arial" w:cs="Arial" w:eastAsia="Arial" w:hAnsi="Arial"/>
          <w:i/>
          <w:iCs/>
          <w:sz w:val="24"/>
          <w:szCs w:val="24"/>
        </w:rPr>
        <w:t xml:space="preserve">Which metabolic pathways are most disrupted in epilepsy based on published metabolomics data?</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Curated epilepsy proteomics literature table (50+ studies)</w:t>
      </w:r>
    </w:p>
    <w:p>
      <w:pPr>
        <w:pStyle w:val="ListParagraph"/>
        <w:numPr>
          <w:ilvl w:val="0"/>
          <w:numId w:val="2"/>
        </w:numPr>
      </w:pPr>
      <w:r>
        <w:rPr>
          <w:rFonts w:ascii="Arial" w:cs="Arial" w:eastAsia="Arial" w:hAnsi="Arial"/>
          <w:sz w:val="24"/>
          <w:szCs w:val="24"/>
        </w:rPr>
        <w:t xml:space="preserve">Validated biomarker protein list with references</w:t>
      </w:r>
    </w:p>
    <w:p>
      <w:pPr>
        <w:pStyle w:val="ListParagraph"/>
        <w:numPr>
          <w:ilvl w:val="0"/>
          <w:numId w:val="2"/>
        </w:numPr>
      </w:pPr>
      <w:r>
        <w:rPr>
          <w:rFonts w:ascii="Arial" w:cs="Arial" w:eastAsia="Arial" w:hAnsi="Arial"/>
          <w:sz w:val="24"/>
          <w:szCs w:val="24"/>
        </w:rPr>
        <w:t xml:space="preserve">Metabolomics dysregulated pathway summary</w:t>
      </w:r>
    </w:p>
    <w:p>
      <w:pPr>
        <w:pStyle w:val="ListParagraph"/>
        <w:numPr>
          <w:ilvl w:val="0"/>
          <w:numId w:val="2"/>
        </w:numPr>
      </w:pPr>
      <w:r>
        <w:rPr>
          <w:rFonts w:ascii="Arial" w:cs="Arial" w:eastAsia="Arial" w:hAnsi="Arial"/>
          <w:sz w:val="24"/>
          <w:szCs w:val="24"/>
        </w:rPr>
        <w:t xml:space="preserve">Blood and CSF protein measurements compilation</w:t>
      </w:r>
    </w:p>
    <w:p>
      <w:pPr>
        <w:pStyle w:val="ListParagraph"/>
        <w:numPr>
          <w:ilvl w:val="0"/>
          <w:numId w:val="2"/>
        </w:numPr>
      </w:pPr>
      <w:r>
        <w:rPr>
          <w:rFonts w:ascii="Arial" w:cs="Arial" w:eastAsia="Arial" w:hAnsi="Arial"/>
          <w:sz w:val="24"/>
          <w:szCs w:val="24"/>
        </w:rPr>
        <w:t xml:space="preserve">Biomarker discovery study characteristics table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Comprehensive literature review table (CSV) with narrative synthesis document and pathway annotation files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Map Angelini DEE differentially expressed genes to the curated proteomics and metabolomics datasets. Identify transcripts whose protein products have been measured as biomarkers in biofluid studies. Perform systems-level integration to connect transcriptomic changes to documented proteomic and metabolomic signatures in epilepsy populations. Prioritize genes with strong evidence for biofluid protein changes.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differentially expressed gene list</w:t>
      </w:r>
    </w:p>
    <w:p>
      <w:pPr>
        <w:pStyle w:val="ListParagraph"/>
        <w:numPr>
          <w:ilvl w:val="0"/>
          <w:numId w:val="2"/>
        </w:numPr>
      </w:pPr>
      <w:r>
        <w:rPr>
          <w:rFonts w:ascii="Arial" w:cs="Arial" w:eastAsia="Arial" w:hAnsi="Arial"/>
          <w:sz w:val="24"/>
          <w:szCs w:val="24"/>
        </w:rPr>
        <w:t xml:space="preserve">Gene-to-protein mapping databases (Uniprot, Ensembl)</w:t>
      </w:r>
    </w:p>
    <w:p>
      <w:pPr>
        <w:pStyle w:val="ListParagraph"/>
        <w:numPr>
          <w:ilvl w:val="0"/>
          <w:numId w:val="2"/>
        </w:numPr>
      </w:pPr>
      <w:r>
        <w:rPr>
          <w:rFonts w:ascii="Arial" w:cs="Arial" w:eastAsia="Arial" w:hAnsi="Arial"/>
          <w:sz w:val="24"/>
          <w:szCs w:val="24"/>
        </w:rPr>
        <w:t xml:space="preserve">Proteomics biomarker compilation from Stage 2</w:t>
      </w:r>
    </w:p>
    <w:p>
      <w:pPr>
        <w:pStyle w:val="ListParagraph"/>
        <w:numPr>
          <w:ilvl w:val="0"/>
          <w:numId w:val="2"/>
        </w:numPr>
      </w:pPr>
      <w:r>
        <w:rPr>
          <w:rFonts w:ascii="Arial" w:cs="Arial" w:eastAsia="Arial" w:hAnsi="Arial"/>
          <w:sz w:val="24"/>
          <w:szCs w:val="24"/>
        </w:rPr>
        <w:t xml:space="preserve">Metabolomics pathway dysregulation data</w:t>
      </w:r>
    </w:p>
    <w:p>
      <w:pPr>
        <w:pStyle w:val="ListParagraph"/>
        <w:numPr>
          <w:ilvl w:val="0"/>
          <w:numId w:val="2"/>
        </w:numPr>
      </w:pPr>
      <w:r>
        <w:rPr>
          <w:rFonts w:ascii="Arial" w:cs="Arial" w:eastAsia="Arial" w:hAnsi="Arial"/>
          <w:sz w:val="24"/>
          <w:szCs w:val="24"/>
        </w:rPr>
        <w:t xml:space="preserve">Protein interaction networks</w:t>
      </w:r>
    </w:p>
    <w:p>
      <w:pPr>
        <w:pStyle w:val="ListParagraph"/>
        <w:numPr>
          <w:ilvl w:val="0"/>
          <w:numId w:val="2"/>
        </w:numPr>
      </w:pPr>
      <w:r>
        <w:rPr>
          <w:rFonts w:ascii="Arial" w:cs="Arial" w:eastAsia="Arial" w:hAnsi="Arial"/>
          <w:sz w:val="24"/>
          <w:szCs w:val="24"/>
        </w:rPr>
        <w:t xml:space="preserve">Pathway enrichment analysis results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Uniprot/Ensembl gene-protein mapping</w:t>
      </w:r>
    </w:p>
    <w:p>
      <w:pPr>
        <w:pStyle w:val="ListParagraph"/>
        <w:numPr>
          <w:ilvl w:val="0"/>
          <w:numId w:val="2"/>
        </w:numPr>
      </w:pPr>
      <w:r>
        <w:rPr>
          <w:rFonts w:ascii="Arial" w:cs="Arial" w:eastAsia="Arial" w:hAnsi="Arial"/>
          <w:sz w:val="24"/>
          <w:szCs w:val="24"/>
        </w:rPr>
        <w:t xml:space="preserve">Cytoscape network visualization</w:t>
      </w:r>
    </w:p>
    <w:p>
      <w:pPr>
        <w:pStyle w:val="ListParagraph"/>
        <w:numPr>
          <w:ilvl w:val="0"/>
          <w:numId w:val="2"/>
        </w:numPr>
      </w:pPr>
      <w:r>
        <w:rPr>
          <w:rFonts w:ascii="Arial" w:cs="Arial" w:eastAsia="Arial" w:hAnsi="Arial"/>
          <w:sz w:val="24"/>
          <w:szCs w:val="24"/>
        </w:rPr>
        <w:t xml:space="preserve">PathwayCommons network database</w:t>
      </w:r>
    </w:p>
    <w:p>
      <w:pPr>
        <w:pStyle w:val="ListParagraph"/>
        <w:numPr>
          <w:ilvl w:val="0"/>
          <w:numId w:val="2"/>
        </w:numPr>
      </w:pPr>
      <w:r>
        <w:rPr>
          <w:rFonts w:ascii="Arial" w:cs="Arial" w:eastAsia="Arial" w:hAnsi="Arial"/>
          <w:sz w:val="24"/>
          <w:szCs w:val="24"/>
        </w:rPr>
        <w:t xml:space="preserve">GSEA gene set enrichment analysis</w:t>
      </w:r>
    </w:p>
    <w:p>
      <w:pPr>
        <w:pStyle w:val="ListParagraph"/>
        <w:numPr>
          <w:ilvl w:val="0"/>
          <w:numId w:val="2"/>
        </w:numPr>
      </w:pPr>
      <w:r>
        <w:rPr>
          <w:rFonts w:ascii="Arial" w:cs="Arial" w:eastAsia="Arial" w:hAnsi="Arial"/>
          <w:sz w:val="24"/>
          <w:szCs w:val="24"/>
        </w:rPr>
        <w:t xml:space="preserve">Metabolomics enrichment tools (mummichog)</w:t>
      </w:r>
    </w:p>
    <w:p>
      <w:pPr>
        <w:pStyle w:val="ListParagraph"/>
        <w:numPr>
          <w:ilvl w:val="0"/>
          <w:numId w:val="2"/>
        </w:numPr>
      </w:pPr>
      <w:r>
        <w:rPr>
          <w:rFonts w:ascii="Arial" w:cs="Arial" w:eastAsia="Arial" w:hAnsi="Arial"/>
          <w:sz w:val="24"/>
          <w:szCs w:val="24"/>
        </w:rPr>
        <w:t xml:space="preserve">Python Pandas for data integration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Angelini DEE transcriptomic signatures align with published epilepsy proteomics changes?</w:t>
      </w:r>
    </w:p>
    <w:p>
      <w:pPr>
        <w:pStyle w:val="ListParagraph"/>
        <w:numPr>
          <w:ilvl w:val="0"/>
          <w:numId w:val="2"/>
        </w:numPr>
      </w:pPr>
      <w:r>
        <w:rPr>
          <w:rFonts w:ascii="Arial" w:cs="Arial" w:eastAsia="Arial" w:hAnsi="Arial"/>
          <w:i/>
          <w:iCs/>
          <w:sz w:val="24"/>
          <w:szCs w:val="24"/>
        </w:rPr>
        <w:t xml:space="preserve">Can we identify a gene expression signature predictive of biofluid protein biomarker levels?</w:t>
      </w:r>
    </w:p>
    <w:p>
      <w:pPr>
        <w:pStyle w:val="ListParagraph"/>
        <w:numPr>
          <w:ilvl w:val="0"/>
          <w:numId w:val="2"/>
        </w:numPr>
      </w:pPr>
      <w:r>
        <w:rPr>
          <w:rFonts w:ascii="Arial" w:cs="Arial" w:eastAsia="Arial" w:hAnsi="Arial"/>
          <w:i/>
          <w:iCs/>
          <w:sz w:val="24"/>
          <w:szCs w:val="24"/>
        </w:rPr>
        <w:t xml:space="preserve">Which pathway nodes are altered at both transcriptomic and proteomic levels?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Integrated transcriptomics-proteomics-metabolomics association map</w:t>
      </w:r>
    </w:p>
    <w:p>
      <w:pPr>
        <w:pStyle w:val="ListParagraph"/>
        <w:numPr>
          <w:ilvl w:val="0"/>
          <w:numId w:val="2"/>
        </w:numPr>
      </w:pPr>
      <w:r>
        <w:rPr>
          <w:rFonts w:ascii="Arial" w:cs="Arial" w:eastAsia="Arial" w:hAnsi="Arial"/>
          <w:sz w:val="24"/>
          <w:szCs w:val="24"/>
        </w:rPr>
        <w:t xml:space="preserve">Prioritized candidate biomarker gene list (50-100 genes)</w:t>
      </w:r>
    </w:p>
    <w:p>
      <w:pPr>
        <w:pStyle w:val="ListParagraph"/>
        <w:numPr>
          <w:ilvl w:val="0"/>
          <w:numId w:val="2"/>
        </w:numPr>
      </w:pPr>
      <w:r>
        <w:rPr>
          <w:rFonts w:ascii="Arial" w:cs="Arial" w:eastAsia="Arial" w:hAnsi="Arial"/>
          <w:sz w:val="24"/>
          <w:szCs w:val="24"/>
        </w:rPr>
        <w:t xml:space="preserve">Pathway enrichment analysis results for biomarker genes</w:t>
      </w:r>
    </w:p>
    <w:p>
      <w:pPr>
        <w:pStyle w:val="ListParagraph"/>
        <w:numPr>
          <w:ilvl w:val="0"/>
          <w:numId w:val="2"/>
        </w:numPr>
      </w:pPr>
      <w:r>
        <w:rPr>
          <w:rFonts w:ascii="Arial" w:cs="Arial" w:eastAsia="Arial" w:hAnsi="Arial"/>
          <w:sz w:val="24"/>
          <w:szCs w:val="24"/>
        </w:rPr>
        <w:t xml:space="preserve">Gene-protein-biofluid association network visualization</w:t>
      </w:r>
    </w:p>
    <w:p>
      <w:pPr>
        <w:pStyle w:val="ListParagraph"/>
        <w:numPr>
          <w:ilvl w:val="0"/>
          <w:numId w:val="2"/>
        </w:numPr>
      </w:pPr>
      <w:r>
        <w:rPr>
          <w:rFonts w:ascii="Arial" w:cs="Arial" w:eastAsia="Arial" w:hAnsi="Arial"/>
          <w:sz w:val="24"/>
          <w:szCs w:val="24"/>
        </w:rPr>
        <w:t xml:space="preserve">Cross-dataset concordance analysis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Network diagram (GraphML), association matrix (CSV), and integration analysis report (PDF)</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Design biofluid biomarker discovery studies to validate top candidate protein and metabolite biomarkers in DEE patient populations. Plan clinical sample collection protocols for blood plasma, serum, and CSF. Establish assay specifications including sample preparation, analytical method (immunoassay, LC-MS/MS), quality control criteria, and reference ranges. Define biomarker qualification strategy compatible with clinical trial use.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Candidate biomarker list from Stage 3</w:t>
      </w:r>
    </w:p>
    <w:p>
      <w:pPr>
        <w:pStyle w:val="ListParagraph"/>
        <w:numPr>
          <w:ilvl w:val="0"/>
          <w:numId w:val="2"/>
        </w:numPr>
      </w:pPr>
      <w:r>
        <w:rPr>
          <w:rFonts w:ascii="Arial" w:cs="Arial" w:eastAsia="Arial" w:hAnsi="Arial"/>
          <w:sz w:val="24"/>
          <w:szCs w:val="24"/>
        </w:rPr>
        <w:t xml:space="preserve">Published biofluid collection and storage protocols</w:t>
      </w:r>
    </w:p>
    <w:p>
      <w:pPr>
        <w:pStyle w:val="ListParagraph"/>
        <w:numPr>
          <w:ilvl w:val="0"/>
          <w:numId w:val="2"/>
        </w:numPr>
      </w:pPr>
      <w:r>
        <w:rPr>
          <w:rFonts w:ascii="Arial" w:cs="Arial" w:eastAsia="Arial" w:hAnsi="Arial"/>
          <w:sz w:val="24"/>
          <w:szCs w:val="24"/>
        </w:rPr>
        <w:t xml:space="preserve">Analytical assay specifications</w:t>
      </w:r>
    </w:p>
    <w:p>
      <w:pPr>
        <w:pStyle w:val="ListParagraph"/>
        <w:numPr>
          <w:ilvl w:val="0"/>
          <w:numId w:val="2"/>
        </w:numPr>
      </w:pPr>
      <w:r>
        <w:rPr>
          <w:rFonts w:ascii="Arial" w:cs="Arial" w:eastAsia="Arial" w:hAnsi="Arial"/>
          <w:sz w:val="24"/>
          <w:szCs w:val="24"/>
        </w:rPr>
        <w:t xml:space="preserve">Biomarker qualification guidance documents</w:t>
      </w:r>
    </w:p>
    <w:p>
      <w:pPr>
        <w:pStyle w:val="ListParagraph"/>
        <w:numPr>
          <w:ilvl w:val="0"/>
          <w:numId w:val="2"/>
        </w:numPr>
      </w:pPr>
      <w:r>
        <w:rPr>
          <w:rFonts w:ascii="Arial" w:cs="Arial" w:eastAsia="Arial" w:hAnsi="Arial"/>
          <w:sz w:val="24"/>
          <w:szCs w:val="24"/>
        </w:rPr>
        <w:t xml:space="preserve">Quality control standards for biofluid assays</w:t>
      </w:r>
    </w:p>
    <w:p>
      <w:pPr>
        <w:pStyle w:val="ListParagraph"/>
        <w:numPr>
          <w:ilvl w:val="0"/>
          <w:numId w:val="2"/>
        </w:numPr>
      </w:pPr>
      <w:r>
        <w:rPr>
          <w:rFonts w:ascii="Arial" w:cs="Arial" w:eastAsia="Arial" w:hAnsi="Arial"/>
          <w:sz w:val="24"/>
          <w:szCs w:val="24"/>
        </w:rPr>
        <w:t xml:space="preserve">Regulatory framework for biomarker development</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Biomarker qualification guidelines (FDA, EMA)</w:t>
      </w:r>
    </w:p>
    <w:p>
      <w:pPr>
        <w:pStyle w:val="ListParagraph"/>
        <w:numPr>
          <w:ilvl w:val="0"/>
          <w:numId w:val="2"/>
        </w:numPr>
      </w:pPr>
      <w:r>
        <w:rPr>
          <w:rFonts w:ascii="Arial" w:cs="Arial" w:eastAsia="Arial" w:hAnsi="Arial"/>
          <w:sz w:val="24"/>
          <w:szCs w:val="24"/>
        </w:rPr>
        <w:t xml:space="preserve">Clinical trial protocol development tools</w:t>
      </w:r>
    </w:p>
    <w:p>
      <w:pPr>
        <w:pStyle w:val="ListParagraph"/>
        <w:numPr>
          <w:ilvl w:val="0"/>
          <w:numId w:val="2"/>
        </w:numPr>
      </w:pPr>
      <w:r>
        <w:rPr>
          <w:rFonts w:ascii="Arial" w:cs="Arial" w:eastAsia="Arial" w:hAnsi="Arial"/>
          <w:sz w:val="24"/>
          <w:szCs w:val="24"/>
        </w:rPr>
        <w:t xml:space="preserve">Laboratory Standard Operating Procedure (SOP) templates</w:t>
      </w:r>
    </w:p>
    <w:p>
      <w:pPr>
        <w:pStyle w:val="ListParagraph"/>
        <w:numPr>
          <w:ilvl w:val="0"/>
          <w:numId w:val="2"/>
        </w:numPr>
      </w:pPr>
      <w:r>
        <w:rPr>
          <w:rFonts w:ascii="Arial" w:cs="Arial" w:eastAsia="Arial" w:hAnsi="Arial"/>
          <w:sz w:val="24"/>
          <w:szCs w:val="24"/>
        </w:rPr>
        <w:t xml:space="preserve">Immunoassay platform specifications (ELISA, Luminex)</w:t>
      </w:r>
    </w:p>
    <w:p>
      <w:pPr>
        <w:pStyle w:val="ListParagraph"/>
        <w:numPr>
          <w:ilvl w:val="0"/>
          <w:numId w:val="2"/>
        </w:numPr>
      </w:pPr>
      <w:r>
        <w:rPr>
          <w:rFonts w:ascii="Arial" w:cs="Arial" w:eastAsia="Arial" w:hAnsi="Arial"/>
          <w:sz w:val="24"/>
          <w:szCs w:val="24"/>
        </w:rPr>
        <w:t xml:space="preserve">LC-MS/MS method development guidelines</w:t>
      </w:r>
    </w:p>
    <w:p>
      <w:pPr>
        <w:pStyle w:val="ListParagraph"/>
        <w:numPr>
          <w:ilvl w:val="0"/>
          <w:numId w:val="2"/>
        </w:numPr>
      </w:pPr>
      <w:r>
        <w:rPr>
          <w:rFonts w:ascii="Arial" w:cs="Arial" w:eastAsia="Arial" w:hAnsi="Arial"/>
          <w:sz w:val="24"/>
          <w:szCs w:val="24"/>
        </w:rPr>
        <w:t xml:space="preserve">Biofluid specimen repository standards (ISBER)</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optimal collection, handling, and storage procedures for blood and CSF samples in DEE trials?</w:t>
      </w:r>
    </w:p>
    <w:p>
      <w:pPr>
        <w:pStyle w:val="ListParagraph"/>
        <w:numPr>
          <w:ilvl w:val="0"/>
          <w:numId w:val="2"/>
        </w:numPr>
      </w:pPr>
      <w:r>
        <w:rPr>
          <w:rFonts w:ascii="Arial" w:cs="Arial" w:eastAsia="Arial" w:hAnsi="Arial"/>
          <w:i/>
          <w:iCs/>
          <w:sz w:val="24"/>
          <w:szCs w:val="24"/>
        </w:rPr>
        <w:t xml:space="preserve">Which analytical platforms (ELISA, LC-MS/MS, proteomics panels) are most suitable for each candidate biomarker?</w:t>
      </w:r>
    </w:p>
    <w:p>
      <w:pPr>
        <w:pStyle w:val="ListParagraph"/>
        <w:numPr>
          <w:ilvl w:val="0"/>
          <w:numId w:val="2"/>
        </w:numPr>
      </w:pPr>
      <w:r>
        <w:rPr>
          <w:rFonts w:ascii="Arial" w:cs="Arial" w:eastAsia="Arial" w:hAnsi="Arial"/>
          <w:i/>
          <w:iCs/>
          <w:sz w:val="24"/>
          <w:szCs w:val="24"/>
        </w:rPr>
        <w:t xml:space="preserve">How should biomarker qualification studies be powered to demonstrate clinical utility?</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Biofluid collection and processing SOP document</w:t>
      </w:r>
    </w:p>
    <w:p>
      <w:pPr>
        <w:pStyle w:val="ListParagraph"/>
        <w:numPr>
          <w:ilvl w:val="0"/>
          <w:numId w:val="2"/>
        </w:numPr>
      </w:pPr>
      <w:r>
        <w:rPr>
          <w:rFonts w:ascii="Arial" w:cs="Arial" w:eastAsia="Arial" w:hAnsi="Arial"/>
          <w:sz w:val="24"/>
          <w:szCs w:val="24"/>
        </w:rPr>
        <w:t xml:space="preserve">Analytical assay specifications for each biomarker</w:t>
      </w:r>
    </w:p>
    <w:p>
      <w:pPr>
        <w:pStyle w:val="ListParagraph"/>
        <w:numPr>
          <w:ilvl w:val="0"/>
          <w:numId w:val="2"/>
        </w:numPr>
      </w:pPr>
      <w:r>
        <w:rPr>
          <w:rFonts w:ascii="Arial" w:cs="Arial" w:eastAsia="Arial" w:hAnsi="Arial"/>
          <w:sz w:val="24"/>
          <w:szCs w:val="24"/>
        </w:rPr>
        <w:t xml:space="preserve">Biomarker qualification study protocol</w:t>
      </w:r>
    </w:p>
    <w:p>
      <w:pPr>
        <w:pStyle w:val="ListParagraph"/>
        <w:numPr>
          <w:ilvl w:val="0"/>
          <w:numId w:val="2"/>
        </w:numPr>
      </w:pPr>
      <w:r>
        <w:rPr>
          <w:rFonts w:ascii="Arial" w:cs="Arial" w:eastAsia="Arial" w:hAnsi="Arial"/>
          <w:sz w:val="24"/>
          <w:szCs w:val="24"/>
        </w:rPr>
        <w:t xml:space="preserve">Sample size calculations for biomarker discovery</w:t>
      </w:r>
    </w:p>
    <w:p>
      <w:pPr>
        <w:pStyle w:val="ListParagraph"/>
        <w:numPr>
          <w:ilvl w:val="0"/>
          <w:numId w:val="2"/>
        </w:numPr>
      </w:pPr>
      <w:r>
        <w:rPr>
          <w:rFonts w:ascii="Arial" w:cs="Arial" w:eastAsia="Arial" w:hAnsi="Arial"/>
          <w:sz w:val="24"/>
          <w:szCs w:val="24"/>
        </w:rPr>
        <w:t xml:space="preserve">Reference range establishment plan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Standard Operating Procedures (PDF) with analytical specifications, protocol document, and statistical design rationale</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longitudinal relationships between candidate biomarkers and clinical outcomes including seizure frequency, disease progression, and treatment response in published DEE cohorts and Angelini functional data. Determine whether biomarker changes precede, coincide with, or follow clinical improvements. Assess biomarker specificity for different DEE clusters and identify potential cluster-specific biomarker signatures.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Candidate biomarker levels from published studies</w:t>
      </w:r>
    </w:p>
    <w:p>
      <w:pPr>
        <w:pStyle w:val="ListParagraph"/>
        <w:numPr>
          <w:ilvl w:val="0"/>
          <w:numId w:val="2"/>
        </w:numPr>
      </w:pPr>
      <w:r>
        <w:rPr>
          <w:rFonts w:ascii="Arial" w:cs="Arial" w:eastAsia="Arial" w:hAnsi="Arial"/>
          <w:sz w:val="24"/>
          <w:szCs w:val="24"/>
        </w:rPr>
        <w:t xml:space="preserve">Longitudinal clinical outcome data</w:t>
      </w:r>
    </w:p>
    <w:p>
      <w:pPr>
        <w:pStyle w:val="ListParagraph"/>
        <w:numPr>
          <w:ilvl w:val="0"/>
          <w:numId w:val="2"/>
        </w:numPr>
      </w:pPr>
      <w:r>
        <w:rPr>
          <w:rFonts w:ascii="Arial" w:cs="Arial" w:eastAsia="Arial" w:hAnsi="Arial"/>
          <w:sz w:val="24"/>
          <w:szCs w:val="24"/>
        </w:rPr>
        <w:t xml:space="preserve">Seizure frequency monitoring records</w:t>
      </w:r>
    </w:p>
    <w:p>
      <w:pPr>
        <w:pStyle w:val="ListParagraph"/>
        <w:numPr>
          <w:ilvl w:val="0"/>
          <w:numId w:val="2"/>
        </w:numPr>
      </w:pPr>
      <w:r>
        <w:rPr>
          <w:rFonts w:ascii="Arial" w:cs="Arial" w:eastAsia="Arial" w:hAnsi="Arial"/>
          <w:sz w:val="24"/>
          <w:szCs w:val="24"/>
        </w:rPr>
        <w:t xml:space="preserve">Treatment response assessments</w:t>
      </w:r>
    </w:p>
    <w:p>
      <w:pPr>
        <w:pStyle w:val="ListParagraph"/>
        <w:numPr>
          <w:ilvl w:val="0"/>
          <w:numId w:val="2"/>
        </w:numPr>
      </w:pPr>
      <w:r>
        <w:rPr>
          <w:rFonts w:ascii="Arial" w:cs="Arial" w:eastAsia="Arial" w:hAnsi="Arial"/>
          <w:sz w:val="24"/>
          <w:szCs w:val="24"/>
        </w:rPr>
        <w:t xml:space="preserve">Angelini functional phenotype timecourse data</w:t>
      </w:r>
    </w:p>
    <w:p>
      <w:pPr>
        <w:pStyle w:val="ListParagraph"/>
        <w:numPr>
          <w:ilvl w:val="0"/>
          <w:numId w:val="2"/>
        </w:numPr>
      </w:pPr>
      <w:r>
        <w:rPr>
          <w:rFonts w:ascii="Arial" w:cs="Arial" w:eastAsia="Arial" w:hAnsi="Arial"/>
          <w:sz w:val="24"/>
          <w:szCs w:val="24"/>
        </w:rPr>
        <w:t xml:space="preserve">Disease progression endpoints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Longitudinal data analysis (mixed effects models)</w:t>
      </w:r>
    </w:p>
    <w:p>
      <w:pPr>
        <w:pStyle w:val="ListParagraph"/>
        <w:numPr>
          <w:ilvl w:val="0"/>
          <w:numId w:val="2"/>
        </w:numPr>
      </w:pPr>
      <w:r>
        <w:rPr>
          <w:rFonts w:ascii="Arial" w:cs="Arial" w:eastAsia="Arial" w:hAnsi="Arial"/>
          <w:sz w:val="24"/>
          <w:szCs w:val="24"/>
        </w:rPr>
        <w:t xml:space="preserve">Time-series analysis (ARIMA, changepoint detection)</w:t>
      </w:r>
    </w:p>
    <w:p>
      <w:pPr>
        <w:pStyle w:val="ListParagraph"/>
        <w:numPr>
          <w:ilvl w:val="0"/>
          <w:numId w:val="2"/>
        </w:numPr>
      </w:pPr>
      <w:r>
        <w:rPr>
          <w:rFonts w:ascii="Arial" w:cs="Arial" w:eastAsia="Arial" w:hAnsi="Arial"/>
          <w:sz w:val="24"/>
          <w:szCs w:val="24"/>
        </w:rPr>
        <w:t xml:space="preserve">Receiver Operating Characteristic (ROC) analysis</w:t>
      </w:r>
    </w:p>
    <w:p>
      <w:pPr>
        <w:pStyle w:val="ListParagraph"/>
        <w:numPr>
          <w:ilvl w:val="0"/>
          <w:numId w:val="2"/>
        </w:numPr>
      </w:pPr>
      <w:r>
        <w:rPr>
          <w:rFonts w:ascii="Arial" w:cs="Arial" w:eastAsia="Arial" w:hAnsi="Arial"/>
          <w:sz w:val="24"/>
          <w:szCs w:val="24"/>
        </w:rPr>
        <w:t xml:space="preserve">Clinical correlation statistical testing</w:t>
      </w:r>
    </w:p>
    <w:p>
      <w:pPr>
        <w:pStyle w:val="ListParagraph"/>
        <w:numPr>
          <w:ilvl w:val="0"/>
          <w:numId w:val="2"/>
        </w:numPr>
      </w:pPr>
      <w:r>
        <w:rPr>
          <w:rFonts w:ascii="Arial" w:cs="Arial" w:eastAsia="Arial" w:hAnsi="Arial"/>
          <w:sz w:val="24"/>
          <w:szCs w:val="24"/>
        </w:rPr>
        <w:t xml:space="preserve">Survival analysis for disease progression</w:t>
      </w:r>
    </w:p>
    <w:p>
      <w:pPr>
        <w:pStyle w:val="ListParagraph"/>
        <w:numPr>
          <w:ilvl w:val="0"/>
          <w:numId w:val="2"/>
        </w:numPr>
      </w:pPr>
      <w:r>
        <w:rPr>
          <w:rFonts w:ascii="Arial" w:cs="Arial" w:eastAsia="Arial" w:hAnsi="Arial"/>
          <w:sz w:val="24"/>
          <w:szCs w:val="24"/>
        </w:rPr>
        <w:t xml:space="preserve">Pharmacodynamic (PD) modeling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Do biomarker changes correlate with seizure frequency changes in a temporal manner consistent with pharmacodynamics?</w:t>
      </w:r>
    </w:p>
    <w:p>
      <w:pPr>
        <w:pStyle w:val="ListParagraph"/>
        <w:numPr>
          <w:ilvl w:val="0"/>
          <w:numId w:val="2"/>
        </w:numPr>
      </w:pPr>
      <w:r>
        <w:rPr>
          <w:rFonts w:ascii="Arial" w:cs="Arial" w:eastAsia="Arial" w:hAnsi="Arial"/>
          <w:i/>
          <w:iCs/>
          <w:sz w:val="24"/>
          <w:szCs w:val="24"/>
        </w:rPr>
        <w:t xml:space="preserve">Which biomarkers show cluster-specific changes aligned with functional phenotypes?</w:t>
      </w:r>
    </w:p>
    <w:p>
      <w:pPr>
        <w:pStyle w:val="ListParagraph"/>
        <w:numPr>
          <w:ilvl w:val="0"/>
          <w:numId w:val="2"/>
        </w:numPr>
      </w:pPr>
      <w:r>
        <w:rPr>
          <w:rFonts w:ascii="Arial" w:cs="Arial" w:eastAsia="Arial" w:hAnsi="Arial"/>
          <w:i/>
          <w:iCs/>
          <w:sz w:val="24"/>
          <w:szCs w:val="24"/>
        </w:rPr>
        <w:t xml:space="preserve">Can biomarker patterns predict treatment response or disease progression?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Longitudinal biomarker-outcome correlation analysis</w:t>
      </w:r>
    </w:p>
    <w:p>
      <w:pPr>
        <w:pStyle w:val="ListParagraph"/>
        <w:numPr>
          <w:ilvl w:val="0"/>
          <w:numId w:val="2"/>
        </w:numPr>
      </w:pPr>
      <w:r>
        <w:rPr>
          <w:rFonts w:ascii="Arial" w:cs="Arial" w:eastAsia="Arial" w:hAnsi="Arial"/>
          <w:sz w:val="24"/>
          <w:szCs w:val="24"/>
        </w:rPr>
        <w:t xml:space="preserve">ROC curves for treatment response prediction</w:t>
      </w:r>
    </w:p>
    <w:p>
      <w:pPr>
        <w:pStyle w:val="ListParagraph"/>
        <w:numPr>
          <w:ilvl w:val="0"/>
          <w:numId w:val="2"/>
        </w:numPr>
      </w:pPr>
      <w:r>
        <w:rPr>
          <w:rFonts w:ascii="Arial" w:cs="Arial" w:eastAsia="Arial" w:hAnsi="Arial"/>
          <w:sz w:val="24"/>
          <w:szCs w:val="24"/>
        </w:rPr>
        <w:t xml:space="preserve">Biomarker change temporal relationship findings</w:t>
      </w:r>
    </w:p>
    <w:p>
      <w:pPr>
        <w:pStyle w:val="ListParagraph"/>
        <w:numPr>
          <w:ilvl w:val="0"/>
          <w:numId w:val="2"/>
        </w:numPr>
      </w:pPr>
      <w:r>
        <w:rPr>
          <w:rFonts w:ascii="Arial" w:cs="Arial" w:eastAsia="Arial" w:hAnsi="Arial"/>
          <w:sz w:val="24"/>
          <w:szCs w:val="24"/>
        </w:rPr>
        <w:t xml:space="preserve">Cluster-specific biomarker signature patterns</w:t>
      </w:r>
    </w:p>
    <w:p>
      <w:pPr>
        <w:pStyle w:val="ListParagraph"/>
        <w:numPr>
          <w:ilvl w:val="0"/>
          <w:numId w:val="2"/>
        </w:numPr>
      </w:pPr>
      <w:r>
        <w:rPr>
          <w:rFonts w:ascii="Arial" w:cs="Arial" w:eastAsia="Arial" w:hAnsi="Arial"/>
          <w:sz w:val="24"/>
          <w:szCs w:val="24"/>
        </w:rPr>
        <w:t xml:space="preserve">Pharmacodynamic modeling results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Statistical analysis report (PDF) with supporting figures, correlation tables (CSV), and R markdown code</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Compile comprehensive biomarker development strategy document including candidate biomarker rankings, qualification priorities, and clinical trial implementation recommendations. Prepare publication-ready tables comparing biomarker analytical characteristics and clinical utility. Develop data sharing and repository protocols for biomarker specimens and assay results. Create regulatory submission documentation supporting biomarker qualification.</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All prior stage biomarker analyses</w:t>
      </w:r>
    </w:p>
    <w:p>
      <w:pPr>
        <w:pStyle w:val="ListParagraph"/>
        <w:numPr>
          <w:ilvl w:val="0"/>
          <w:numId w:val="2"/>
        </w:numPr>
      </w:pPr>
      <w:r>
        <w:rPr>
          <w:rFonts w:ascii="Arial" w:cs="Arial" w:eastAsia="Arial" w:hAnsi="Arial"/>
          <w:sz w:val="24"/>
          <w:szCs w:val="24"/>
        </w:rPr>
        <w:t xml:space="preserve">Analytical validation data</w:t>
      </w:r>
    </w:p>
    <w:p>
      <w:pPr>
        <w:pStyle w:val="ListParagraph"/>
        <w:numPr>
          <w:ilvl w:val="0"/>
          <w:numId w:val="2"/>
        </w:numPr>
      </w:pPr>
      <w:r>
        <w:rPr>
          <w:rFonts w:ascii="Arial" w:cs="Arial" w:eastAsia="Arial" w:hAnsi="Arial"/>
          <w:sz w:val="24"/>
          <w:szCs w:val="24"/>
        </w:rPr>
        <w:t xml:space="preserve">Clinical correlation findings</w:t>
      </w:r>
    </w:p>
    <w:p>
      <w:pPr>
        <w:pStyle w:val="ListParagraph"/>
        <w:numPr>
          <w:ilvl w:val="0"/>
          <w:numId w:val="2"/>
        </w:numPr>
      </w:pPr>
      <w:r>
        <w:rPr>
          <w:rFonts w:ascii="Arial" w:cs="Arial" w:eastAsia="Arial" w:hAnsi="Arial"/>
          <w:sz w:val="24"/>
          <w:szCs w:val="24"/>
        </w:rPr>
        <w:t xml:space="preserve">Longitudinal biomarker-outcome associations</w:t>
      </w:r>
    </w:p>
    <w:p>
      <w:pPr>
        <w:pStyle w:val="ListParagraph"/>
        <w:numPr>
          <w:ilvl w:val="0"/>
          <w:numId w:val="2"/>
        </w:numPr>
      </w:pPr>
      <w:r>
        <w:rPr>
          <w:rFonts w:ascii="Arial" w:cs="Arial" w:eastAsia="Arial" w:hAnsi="Arial"/>
          <w:sz w:val="24"/>
          <w:szCs w:val="24"/>
        </w:rPr>
        <w:t xml:space="preserve">Regulatory guidance documents</w:t>
      </w:r>
    </w:p>
    <w:p>
      <w:pPr>
        <w:pStyle w:val="ListParagraph"/>
        <w:numPr>
          <w:ilvl w:val="0"/>
          <w:numId w:val="2"/>
        </w:numPr>
      </w:pPr>
      <w:r>
        <w:rPr>
          <w:rFonts w:ascii="Arial" w:cs="Arial" w:eastAsia="Arial" w:hAnsi="Arial"/>
          <w:sz w:val="24"/>
          <w:szCs w:val="24"/>
        </w:rPr>
        <w:t xml:space="preserve">Consortium input on biomarker priorities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Publication preparation software (LaTeX, Office)</w:t>
      </w:r>
    </w:p>
    <w:p>
      <w:pPr>
        <w:pStyle w:val="ListParagraph"/>
        <w:numPr>
          <w:ilvl w:val="0"/>
          <w:numId w:val="2"/>
        </w:numPr>
      </w:pPr>
      <w:r>
        <w:rPr>
          <w:rFonts w:ascii="Arial" w:cs="Arial" w:eastAsia="Arial" w:hAnsi="Arial"/>
          <w:sz w:val="24"/>
          <w:szCs w:val="24"/>
        </w:rPr>
        <w:t xml:space="preserve">Regulatory submission document templates</w:t>
      </w:r>
    </w:p>
    <w:p>
      <w:pPr>
        <w:pStyle w:val="ListParagraph"/>
        <w:numPr>
          <w:ilvl w:val="0"/>
          <w:numId w:val="2"/>
        </w:numPr>
      </w:pPr>
      <w:r>
        <w:rPr>
          <w:rFonts w:ascii="Arial" w:cs="Arial" w:eastAsia="Arial" w:hAnsi="Arial"/>
          <w:sz w:val="24"/>
          <w:szCs w:val="24"/>
        </w:rPr>
        <w:t xml:space="preserve">Data management software for biospecimen repositories</w:t>
      </w:r>
    </w:p>
    <w:p>
      <w:pPr>
        <w:pStyle w:val="ListParagraph"/>
        <w:numPr>
          <w:ilvl w:val="0"/>
          <w:numId w:val="2"/>
        </w:numPr>
      </w:pPr>
      <w:r>
        <w:rPr>
          <w:rFonts w:ascii="Arial" w:cs="Arial" w:eastAsia="Arial" w:hAnsi="Arial"/>
          <w:sz w:val="24"/>
          <w:szCs w:val="24"/>
        </w:rPr>
        <w:t xml:space="preserve">Clinical trial biomarker integration tools</w:t>
      </w:r>
    </w:p>
    <w:p>
      <w:pPr>
        <w:pStyle w:val="ListParagraph"/>
        <w:numPr>
          <w:ilvl w:val="0"/>
          <w:numId w:val="2"/>
        </w:numPr>
      </w:pPr>
      <w:r>
        <w:rPr>
          <w:rFonts w:ascii="Arial" w:cs="Arial" w:eastAsia="Arial" w:hAnsi="Arial"/>
          <w:sz w:val="24"/>
          <w:szCs w:val="24"/>
        </w:rPr>
        <w:t xml:space="preserve">Statistical summary visualization (ggplot2, plotly)</w:t>
      </w:r>
    </w:p>
    <w:p>
      <w:pPr>
        <w:pStyle w:val="ListParagraph"/>
        <w:numPr>
          <w:ilvl w:val="0"/>
          <w:numId w:val="2"/>
        </w:numPr>
      </w:pPr>
      <w:r>
        <w:rPr>
          <w:rFonts w:ascii="Arial" w:cs="Arial" w:eastAsia="Arial" w:hAnsi="Arial"/>
          <w:sz w:val="24"/>
          <w:szCs w:val="24"/>
        </w:rPr>
        <w:t xml:space="preserve">Open science frameworks (OSF) for data sharing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the 5-10 highest priority biomarkers for clinical trial qualification?</w:t>
      </w:r>
    </w:p>
    <w:p>
      <w:pPr>
        <w:pStyle w:val="ListParagraph"/>
        <w:numPr>
          <w:ilvl w:val="0"/>
          <w:numId w:val="2"/>
        </w:numPr>
      </w:pPr>
      <w:r>
        <w:rPr>
          <w:rFonts w:ascii="Arial" w:cs="Arial" w:eastAsia="Arial" w:hAnsi="Arial"/>
          <w:i/>
          <w:iCs/>
          <w:sz w:val="24"/>
          <w:szCs w:val="24"/>
        </w:rPr>
        <w:t xml:space="preserve">How should pharmacodynamic biomarkers be integrated into DEE clinical trial designs?</w:t>
      </w:r>
    </w:p>
    <w:p>
      <w:pPr>
        <w:pStyle w:val="ListParagraph"/>
        <w:numPr>
          <w:ilvl w:val="0"/>
          <w:numId w:val="2"/>
        </w:numPr>
      </w:pPr>
      <w:r>
        <w:rPr>
          <w:rFonts w:ascii="Arial" w:cs="Arial" w:eastAsia="Arial" w:hAnsi="Arial"/>
          <w:i/>
          <w:iCs/>
          <w:sz w:val="24"/>
          <w:szCs w:val="24"/>
        </w:rPr>
        <w:t xml:space="preserve">What regulatory strategy best supports biomarker qualification for rare disease applications?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Biomarker development ranking and prioritization document</w:t>
      </w:r>
    </w:p>
    <w:p>
      <w:pPr>
        <w:pStyle w:val="ListParagraph"/>
        <w:numPr>
          <w:ilvl w:val="0"/>
          <w:numId w:val="2"/>
        </w:numPr>
      </w:pPr>
      <w:r>
        <w:rPr>
          <w:rFonts w:ascii="Arial" w:cs="Arial" w:eastAsia="Arial" w:hAnsi="Arial"/>
          <w:sz w:val="24"/>
          <w:szCs w:val="24"/>
        </w:rPr>
        <w:t xml:space="preserve">Clinical utility and analytical validity summary table</w:t>
      </w:r>
    </w:p>
    <w:p>
      <w:pPr>
        <w:pStyle w:val="ListParagraph"/>
        <w:numPr>
          <w:ilvl w:val="0"/>
          <w:numId w:val="2"/>
        </w:numPr>
      </w:pPr>
      <w:r>
        <w:rPr>
          <w:rFonts w:ascii="Arial" w:cs="Arial" w:eastAsia="Arial" w:hAnsi="Arial"/>
          <w:sz w:val="24"/>
          <w:szCs w:val="24"/>
        </w:rPr>
        <w:t xml:space="preserve">Regulatory submission strategy recommendation</w:t>
      </w:r>
    </w:p>
    <w:p>
      <w:pPr>
        <w:pStyle w:val="ListParagraph"/>
        <w:numPr>
          <w:ilvl w:val="0"/>
          <w:numId w:val="2"/>
        </w:numPr>
      </w:pPr>
      <w:r>
        <w:rPr>
          <w:rFonts w:ascii="Arial" w:cs="Arial" w:eastAsia="Arial" w:hAnsi="Arial"/>
          <w:sz w:val="24"/>
          <w:szCs w:val="24"/>
        </w:rPr>
        <w:t xml:space="preserve">Biomarker data repository and sharing protocol</w:t>
      </w:r>
    </w:p>
    <w:p>
      <w:pPr>
        <w:pStyle w:val="ListParagraph"/>
        <w:numPr>
          <w:ilvl w:val="0"/>
          <w:numId w:val="2"/>
        </w:numPr>
      </w:pPr>
      <w:r>
        <w:rPr>
          <w:rFonts w:ascii="Arial" w:cs="Arial" w:eastAsia="Arial" w:hAnsi="Arial"/>
          <w:sz w:val="24"/>
          <w:szCs w:val="24"/>
        </w:rPr>
        <w:t xml:space="preserve">Publication-ready biomarker comparison figures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Regulatory guidance document (PDF) with supplementary tables, data management protocol, and repository access specifications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DESeq2 RNA-seq normalization and statistical testing</w:t>
      </w:r>
    </w:p>
    <w:p>
      <w:pPr>
        <w:pStyle w:val="ListParagraph"/>
        <w:numPr>
          <w:ilvl w:val="0"/>
          <w:numId w:val="2"/>
        </w:numPr>
      </w:pPr>
      <w:r>
        <w:rPr>
          <w:rFonts w:ascii="Arial" w:cs="Arial" w:eastAsia="Arial" w:hAnsi="Arial"/>
          <w:sz w:val="24"/>
          <w:szCs w:val="24"/>
        </w:rPr>
        <w:t xml:space="preserve">edgeR gene expression analysis for count data</w:t>
      </w:r>
    </w:p>
    <w:p>
      <w:pPr>
        <w:pStyle w:val="ListParagraph"/>
        <w:numPr>
          <w:ilvl w:val="0"/>
          <w:numId w:val="2"/>
        </w:numPr>
      </w:pPr>
      <w:r>
        <w:rPr>
          <w:rFonts w:ascii="Arial" w:cs="Arial" w:eastAsia="Arial" w:hAnsi="Arial"/>
          <w:sz w:val="24"/>
          <w:szCs w:val="24"/>
        </w:rPr>
        <w:t xml:space="preserve">FastQC quality control for sequencing data</w:t>
      </w:r>
    </w:p>
    <w:p>
      <w:pPr>
        <w:pStyle w:val="ListParagraph"/>
        <w:numPr>
          <w:ilvl w:val="0"/>
          <w:numId w:val="2"/>
        </w:numPr>
      </w:pPr>
      <w:r>
        <w:rPr>
          <w:rFonts w:ascii="Arial" w:cs="Arial" w:eastAsia="Arial" w:hAnsi="Arial"/>
          <w:sz w:val="24"/>
          <w:szCs w:val="24"/>
        </w:rPr>
        <w:t xml:space="preserve">Samtools BAM file processing and statistics</w:t>
      </w:r>
    </w:p>
    <w:p>
      <w:pPr>
        <w:pStyle w:val="ListParagraph"/>
        <w:numPr>
          <w:ilvl w:val="0"/>
          <w:numId w:val="2"/>
        </w:numPr>
      </w:pPr>
      <w:r>
        <w:rPr>
          <w:rFonts w:ascii="Arial" w:cs="Arial" w:eastAsia="Arial" w:hAnsi="Arial"/>
          <w:sz w:val="24"/>
          <w:szCs w:val="24"/>
        </w:rPr>
        <w:t xml:space="preserve">STAR aligner RNA-seq alignment tool</w:t>
      </w:r>
    </w:p>
    <w:p>
      <w:pPr>
        <w:pStyle w:val="ListParagraph"/>
        <w:numPr>
          <w:ilvl w:val="0"/>
          <w:numId w:val="2"/>
        </w:numPr>
      </w:pPr>
      <w:r>
        <w:rPr>
          <w:rFonts w:ascii="Arial" w:cs="Arial" w:eastAsia="Arial" w:hAnsi="Arial"/>
          <w:sz w:val="24"/>
          <w:szCs w:val="24"/>
        </w:rPr>
        <w:t xml:space="preserve">hisat2 RNA sequence alignment</w:t>
      </w:r>
    </w:p>
    <w:p>
      <w:pPr>
        <w:pStyle w:val="ListParagraph"/>
        <w:numPr>
          <w:ilvl w:val="0"/>
          <w:numId w:val="2"/>
        </w:numPr>
      </w:pPr>
      <w:r>
        <w:rPr>
          <w:rFonts w:ascii="Arial" w:cs="Arial" w:eastAsia="Arial" w:hAnsi="Arial"/>
          <w:sz w:val="24"/>
          <w:szCs w:val="24"/>
        </w:rPr>
        <w:t xml:space="preserve">ComBat batch effect correction</w:t>
      </w:r>
    </w:p>
    <w:p>
      <w:pPr>
        <w:pStyle w:val="ListParagraph"/>
        <w:numPr>
          <w:ilvl w:val="0"/>
          <w:numId w:val="2"/>
        </w:numPr>
      </w:pPr>
      <w:r>
        <w:rPr>
          <w:rFonts w:ascii="Arial" w:cs="Arial" w:eastAsia="Arial" w:hAnsi="Arial"/>
          <w:sz w:val="24"/>
          <w:szCs w:val="24"/>
        </w:rPr>
        <w:t xml:space="preserve">PubMed/MEDLINE API literature database</w:t>
      </w:r>
    </w:p>
    <w:p>
      <w:pPr>
        <w:pStyle w:val="ListParagraph"/>
        <w:numPr>
          <w:ilvl w:val="0"/>
          <w:numId w:val="2"/>
        </w:numPr>
      </w:pPr>
      <w:r>
        <w:rPr>
          <w:rFonts w:ascii="Arial" w:cs="Arial" w:eastAsia="Arial" w:hAnsi="Arial"/>
          <w:sz w:val="24"/>
          <w:szCs w:val="24"/>
        </w:rPr>
        <w:t xml:space="preserve">PeptideAtlas proteomics database</w:t>
      </w:r>
    </w:p>
    <w:p>
      <w:pPr>
        <w:pStyle w:val="ListParagraph"/>
        <w:numPr>
          <w:ilvl w:val="0"/>
          <w:numId w:val="2"/>
        </w:numPr>
      </w:pPr>
      <w:r>
        <w:rPr>
          <w:rFonts w:ascii="Arial" w:cs="Arial" w:eastAsia="Arial" w:hAnsi="Arial"/>
          <w:sz w:val="24"/>
          <w:szCs w:val="24"/>
        </w:rPr>
        <w:t xml:space="preserve">PRIDE proteomics repository access</w:t>
      </w:r>
    </w:p>
    <w:p>
      <w:pPr>
        <w:pStyle w:val="ListParagraph"/>
        <w:numPr>
          <w:ilvl w:val="0"/>
          <w:numId w:val="2"/>
        </w:numPr>
      </w:pPr>
      <w:r>
        <w:rPr>
          <w:rFonts w:ascii="Arial" w:cs="Arial" w:eastAsia="Arial" w:hAnsi="Arial"/>
          <w:sz w:val="24"/>
          <w:szCs w:val="24"/>
        </w:rPr>
        <w:t xml:space="preserve">Human Metabolome Database (HMDB)</w:t>
      </w:r>
    </w:p>
    <w:p>
      <w:pPr>
        <w:pStyle w:val="ListParagraph"/>
        <w:numPr>
          <w:ilvl w:val="0"/>
          <w:numId w:val="2"/>
        </w:numPr>
      </w:pPr>
      <w:r>
        <w:rPr>
          <w:rFonts w:ascii="Arial" w:cs="Arial" w:eastAsia="Arial" w:hAnsi="Arial"/>
          <w:sz w:val="24"/>
          <w:szCs w:val="24"/>
        </w:rPr>
        <w:t xml:space="preserve">KEGG pathway database</w:t>
      </w:r>
    </w:p>
    <w:p>
      <w:pPr>
        <w:pStyle w:val="ListParagraph"/>
        <w:numPr>
          <w:ilvl w:val="0"/>
          <w:numId w:val="2"/>
        </w:numPr>
      </w:pPr>
      <w:r>
        <w:rPr>
          <w:rFonts w:ascii="Arial" w:cs="Arial" w:eastAsia="Arial" w:hAnsi="Arial"/>
          <w:sz w:val="24"/>
          <w:szCs w:val="24"/>
        </w:rPr>
        <w:t xml:space="preserve">Reactome pathway annotations</w:t>
      </w:r>
    </w:p>
    <w:p>
      <w:pPr>
        <w:pStyle w:val="ListParagraph"/>
        <w:numPr>
          <w:ilvl w:val="0"/>
          <w:numId w:val="2"/>
        </w:numPr>
      </w:pPr>
      <w:r>
        <w:rPr>
          <w:rFonts w:ascii="Arial" w:cs="Arial" w:eastAsia="Arial" w:hAnsi="Arial"/>
          <w:sz w:val="24"/>
          <w:szCs w:val="24"/>
        </w:rPr>
        <w:t xml:space="preserve">Uniprot/Ensembl gene-protein mapping</w:t>
      </w:r>
    </w:p>
    <w:p>
      <w:pPr>
        <w:pStyle w:val="ListParagraph"/>
        <w:numPr>
          <w:ilvl w:val="0"/>
          <w:numId w:val="2"/>
        </w:numPr>
      </w:pPr>
      <w:r>
        <w:rPr>
          <w:rFonts w:ascii="Arial" w:cs="Arial" w:eastAsia="Arial" w:hAnsi="Arial"/>
          <w:sz w:val="24"/>
          <w:szCs w:val="24"/>
        </w:rPr>
        <w:t xml:space="preserve">Cytoscape network visualization</w:t>
      </w:r>
    </w:p>
    <w:p>
      <w:pPr>
        <w:pStyle w:val="ListParagraph"/>
        <w:numPr>
          <w:ilvl w:val="0"/>
          <w:numId w:val="2"/>
        </w:numPr>
      </w:pPr>
      <w:r>
        <w:rPr>
          <w:rFonts w:ascii="Arial" w:cs="Arial" w:eastAsia="Arial" w:hAnsi="Arial"/>
          <w:sz w:val="24"/>
          <w:szCs w:val="24"/>
        </w:rPr>
        <w:t xml:space="preserve">PathwayCommons network database</w:t>
      </w:r>
    </w:p>
    <w:p>
      <w:pPr>
        <w:pStyle w:val="ListParagraph"/>
        <w:numPr>
          <w:ilvl w:val="0"/>
          <w:numId w:val="2"/>
        </w:numPr>
      </w:pPr>
      <w:r>
        <w:rPr>
          <w:rFonts w:ascii="Arial" w:cs="Arial" w:eastAsia="Arial" w:hAnsi="Arial"/>
          <w:sz w:val="24"/>
          <w:szCs w:val="24"/>
        </w:rPr>
        <w:t xml:space="preserve">GSEA gene set enrichment analysis</w:t>
      </w:r>
    </w:p>
    <w:p>
      <w:pPr>
        <w:pStyle w:val="ListParagraph"/>
        <w:numPr>
          <w:ilvl w:val="0"/>
          <w:numId w:val="2"/>
        </w:numPr>
      </w:pPr>
      <w:r>
        <w:rPr>
          <w:rFonts w:ascii="Arial" w:cs="Arial" w:eastAsia="Arial" w:hAnsi="Arial"/>
          <w:sz w:val="24"/>
          <w:szCs w:val="24"/>
        </w:rPr>
        <w:t xml:space="preserve">Mummichog metabolomics enrichment</w:t>
      </w:r>
    </w:p>
    <w:p>
      <w:pPr>
        <w:pStyle w:val="ListParagraph"/>
        <w:numPr>
          <w:ilvl w:val="0"/>
          <w:numId w:val="2"/>
        </w:numPr>
      </w:pPr>
      <w:r>
        <w:rPr>
          <w:rFonts w:ascii="Arial" w:cs="Arial" w:eastAsia="Arial" w:hAnsi="Arial"/>
          <w:sz w:val="24"/>
          <w:szCs w:val="24"/>
        </w:rPr>
        <w:t xml:space="preserve">FDA biomarker qualification guidance</w:t>
      </w:r>
    </w:p>
    <w:p>
      <w:pPr>
        <w:pStyle w:val="ListParagraph"/>
        <w:numPr>
          <w:ilvl w:val="0"/>
          <w:numId w:val="2"/>
        </w:numPr>
      </w:pPr>
      <w:r>
        <w:rPr>
          <w:rFonts w:ascii="Arial" w:cs="Arial" w:eastAsia="Arial" w:hAnsi="Arial"/>
          <w:sz w:val="24"/>
          <w:szCs w:val="24"/>
        </w:rPr>
        <w:t xml:space="preserve">EMA biomarker development guidelines</w:t>
      </w:r>
    </w:p>
    <w:p>
      <w:pPr>
        <w:pStyle w:val="ListParagraph"/>
        <w:numPr>
          <w:ilvl w:val="0"/>
          <w:numId w:val="2"/>
        </w:numPr>
      </w:pPr>
      <w:r>
        <w:rPr>
          <w:rFonts w:ascii="Arial" w:cs="Arial" w:eastAsia="Arial" w:hAnsi="Arial"/>
          <w:sz w:val="24"/>
          <w:szCs w:val="24"/>
        </w:rPr>
        <w:t xml:space="preserve">Mixed effects models for longitudinal analysis</w:t>
      </w:r>
    </w:p>
    <w:p>
      <w:pPr>
        <w:pStyle w:val="ListParagraph"/>
        <w:numPr>
          <w:ilvl w:val="0"/>
          <w:numId w:val="2"/>
        </w:numPr>
      </w:pPr>
      <w:r>
        <w:rPr>
          <w:rFonts w:ascii="Arial" w:cs="Arial" w:eastAsia="Arial" w:hAnsi="Arial"/>
          <w:sz w:val="24"/>
          <w:szCs w:val="24"/>
        </w:rPr>
        <w:t xml:space="preserve">Time-series ARIMA analysis</w:t>
      </w:r>
    </w:p>
    <w:p>
      <w:pPr>
        <w:pStyle w:val="ListParagraph"/>
        <w:numPr>
          <w:ilvl w:val="0"/>
          <w:numId w:val="2"/>
        </w:numPr>
      </w:pPr>
      <w:r>
        <w:rPr>
          <w:rFonts w:ascii="Arial" w:cs="Arial" w:eastAsia="Arial" w:hAnsi="Arial"/>
          <w:sz w:val="24"/>
          <w:szCs w:val="24"/>
        </w:rPr>
        <w:t xml:space="preserve">Changepoint detection algorithms</w:t>
      </w:r>
    </w:p>
    <w:p>
      <w:pPr>
        <w:pStyle w:val="ListParagraph"/>
        <w:numPr>
          <w:ilvl w:val="0"/>
          <w:numId w:val="2"/>
        </w:numPr>
      </w:pPr>
      <w:r>
        <w:rPr>
          <w:rFonts w:ascii="Arial" w:cs="Arial" w:eastAsia="Arial" w:hAnsi="Arial"/>
          <w:sz w:val="24"/>
          <w:szCs w:val="24"/>
        </w:rPr>
        <w:t xml:space="preserve">ROC curve analysis tools</w:t>
      </w:r>
    </w:p>
    <w:p>
      <w:pPr>
        <w:pStyle w:val="ListParagraph"/>
        <w:numPr>
          <w:ilvl w:val="0"/>
          <w:numId w:val="2"/>
        </w:numPr>
      </w:pPr>
      <w:r>
        <w:rPr>
          <w:rFonts w:ascii="Arial" w:cs="Arial" w:eastAsia="Arial" w:hAnsi="Arial"/>
          <w:sz w:val="24"/>
          <w:szCs w:val="24"/>
        </w:rPr>
        <w:t xml:space="preserve">Survival analysis packages (survfit, coxph)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2026-03-25T18:23:24.090Z</dcterms:created>
  <dcterms:modified xsi:type="dcterms:W3CDTF">2026-03-25T18:23:24.091Z</dcterms:modified>
</cp:coreProperties>
</file>

<file path=docProps/custom.xml><?xml version="1.0" encoding="utf-8"?>
<Properties xmlns="http://schemas.openxmlformats.org/officeDocument/2006/custom-properties" xmlns:vt="http://schemas.openxmlformats.org/officeDocument/2006/docPropsVTypes"/>
</file>