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#084: Precision Medicine Strategy &amp; Therapeutic Target Prioritization</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Query the Angelini functional cluster data to identify which common nodes have the strongest rationale for precision medicine approaches (specific drug for specific cluster) versus which might benefit from broader mechanism-based therapies targeting shared downstream pathways.</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Query the Angelini functional cluster data to identify which common nodes have the strongest rationale for precision medicine approaches (specific drug for specific cluster) versus which might benefit from broader mechanism-based therapies targeting shared downstream pathways.</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High - Requires integration of functional genomics, therapeutic target databases, mechanism-of-action analysis, and drug development strategy across multiple disease clusters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Comprehensively characterize the functional mechanism of each Angelini common node by integrating Optopatch functional phenotypes, gene expression data, and protein interaction networks. Identify upstream genetic variations and downstream effectors for each cluster. Map regulatory relationships within clusters to identify potential node points for therapeutic intervention.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Optopatch functional phenotypes</w:t>
      </w:r>
    </w:p>
    <w:p>
      <w:pPr>
        <w:pStyle w:val="ListParagraph"/>
        <w:numPr>
          <w:ilvl w:val="0"/>
          <w:numId w:val="2"/>
        </w:numPr>
      </w:pPr>
      <w:r>
        <w:rPr>
          <w:rFonts w:ascii="Arial" w:cs="Arial" w:eastAsia="Arial" w:hAnsi="Arial"/>
          <w:sz w:val="24"/>
          <w:szCs w:val="24"/>
        </w:rPr>
        <w:t xml:space="preserve">RNA-seq differential expression data by cluster</w:t>
      </w:r>
    </w:p>
    <w:p>
      <w:pPr>
        <w:pStyle w:val="ListParagraph"/>
        <w:numPr>
          <w:ilvl w:val="0"/>
          <w:numId w:val="2"/>
        </w:numPr>
      </w:pPr>
      <w:r>
        <w:rPr>
          <w:rFonts w:ascii="Arial" w:cs="Arial" w:eastAsia="Arial" w:hAnsi="Arial"/>
          <w:sz w:val="24"/>
          <w:szCs w:val="24"/>
        </w:rPr>
        <w:t xml:space="preserve">Protein-protein interaction networks</w:t>
      </w:r>
    </w:p>
    <w:p>
      <w:pPr>
        <w:pStyle w:val="ListParagraph"/>
        <w:numPr>
          <w:ilvl w:val="0"/>
          <w:numId w:val="2"/>
        </w:numPr>
      </w:pPr>
      <w:r>
        <w:rPr>
          <w:rFonts w:ascii="Arial" w:cs="Arial" w:eastAsia="Arial" w:hAnsi="Arial"/>
          <w:sz w:val="24"/>
          <w:szCs w:val="24"/>
        </w:rPr>
        <w:t xml:space="preserve">Gene regulatory networks from published sources</w:t>
      </w:r>
    </w:p>
    <w:p>
      <w:pPr>
        <w:pStyle w:val="ListParagraph"/>
        <w:numPr>
          <w:ilvl w:val="0"/>
          <w:numId w:val="2"/>
        </w:numPr>
      </w:pPr>
      <w:r>
        <w:rPr>
          <w:rFonts w:ascii="Arial" w:cs="Arial" w:eastAsia="Arial" w:hAnsi="Arial"/>
          <w:sz w:val="24"/>
          <w:szCs w:val="24"/>
        </w:rPr>
        <w:t xml:space="preserve">Pathway membership annotations (KEGG, Reactome)</w:t>
      </w:r>
    </w:p>
    <w:p>
      <w:pPr>
        <w:pStyle w:val="ListParagraph"/>
        <w:numPr>
          <w:ilvl w:val="0"/>
          <w:numId w:val="2"/>
        </w:numPr>
      </w:pPr>
      <w:r>
        <w:rPr>
          <w:rFonts w:ascii="Arial" w:cs="Arial" w:eastAsia="Arial" w:hAnsi="Arial"/>
          <w:sz w:val="24"/>
          <w:szCs w:val="24"/>
        </w:rPr>
        <w:t xml:space="preserve">Transcription factor binding site predictions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Cytoscape network visualization</w:t>
      </w:r>
    </w:p>
    <w:p>
      <w:pPr>
        <w:pStyle w:val="ListParagraph"/>
        <w:numPr>
          <w:ilvl w:val="0"/>
          <w:numId w:val="2"/>
        </w:numPr>
      </w:pPr>
      <w:r>
        <w:rPr>
          <w:rFonts w:ascii="Arial" w:cs="Arial" w:eastAsia="Arial" w:hAnsi="Arial"/>
          <w:sz w:val="24"/>
          <w:szCs w:val="24"/>
        </w:rPr>
        <w:t xml:space="preserve">KEGG pathway database mapping</w:t>
      </w:r>
    </w:p>
    <w:p>
      <w:pPr>
        <w:pStyle w:val="ListParagraph"/>
        <w:numPr>
          <w:ilvl w:val="0"/>
          <w:numId w:val="2"/>
        </w:numPr>
      </w:pPr>
      <w:r>
        <w:rPr>
          <w:rFonts w:ascii="Arial" w:cs="Arial" w:eastAsia="Arial" w:hAnsi="Arial"/>
          <w:sz w:val="24"/>
          <w:szCs w:val="24"/>
        </w:rPr>
        <w:t xml:space="preserve">Reactome pathway analysis</w:t>
      </w:r>
    </w:p>
    <w:p>
      <w:pPr>
        <w:pStyle w:val="ListParagraph"/>
        <w:numPr>
          <w:ilvl w:val="0"/>
          <w:numId w:val="2"/>
        </w:numPr>
      </w:pPr>
      <w:r>
        <w:rPr>
          <w:rFonts w:ascii="Arial" w:cs="Arial" w:eastAsia="Arial" w:hAnsi="Arial"/>
          <w:sz w:val="24"/>
          <w:szCs w:val="24"/>
        </w:rPr>
        <w:t xml:space="preserve">StringDB protein interaction database</w:t>
      </w:r>
    </w:p>
    <w:p>
      <w:pPr>
        <w:pStyle w:val="ListParagraph"/>
        <w:numPr>
          <w:ilvl w:val="0"/>
          <w:numId w:val="2"/>
        </w:numPr>
      </w:pPr>
      <w:r>
        <w:rPr>
          <w:rFonts w:ascii="Arial" w:cs="Arial" w:eastAsia="Arial" w:hAnsi="Arial"/>
          <w:sz w:val="24"/>
          <w:szCs w:val="24"/>
        </w:rPr>
        <w:t xml:space="preserve">RegulomeDB transcription factor predictions</w:t>
      </w:r>
    </w:p>
    <w:p>
      <w:pPr>
        <w:pStyle w:val="ListParagraph"/>
        <w:numPr>
          <w:ilvl w:val="0"/>
          <w:numId w:val="2"/>
        </w:numPr>
      </w:pPr>
      <w:r>
        <w:rPr>
          <w:rFonts w:ascii="Arial" w:cs="Arial" w:eastAsia="Arial" w:hAnsi="Arial"/>
          <w:sz w:val="24"/>
          <w:szCs w:val="24"/>
        </w:rPr>
        <w:t xml:space="preserve">JASPAR transcription factor binding motifs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the core mechanistic features distinguishing each functional cluster?</w:t>
      </w:r>
    </w:p>
    <w:p>
      <w:pPr>
        <w:pStyle w:val="ListParagraph"/>
        <w:numPr>
          <w:ilvl w:val="0"/>
          <w:numId w:val="2"/>
        </w:numPr>
      </w:pPr>
      <w:r>
        <w:rPr>
          <w:rFonts w:ascii="Arial" w:cs="Arial" w:eastAsia="Arial" w:hAnsi="Arial"/>
          <w:i/>
          <w:iCs/>
          <w:sz w:val="24"/>
          <w:szCs w:val="24"/>
        </w:rPr>
        <w:t xml:space="preserve">Which genes within a cluster are regulatory hubs versus effector genes?</w:t>
      </w:r>
    </w:p>
    <w:p>
      <w:pPr>
        <w:pStyle w:val="ListParagraph"/>
        <w:numPr>
          <w:ilvl w:val="0"/>
          <w:numId w:val="2"/>
        </w:numPr>
      </w:pPr>
      <w:r>
        <w:rPr>
          <w:rFonts w:ascii="Arial" w:cs="Arial" w:eastAsia="Arial" w:hAnsi="Arial"/>
          <w:i/>
          <w:iCs/>
          <w:sz w:val="24"/>
          <w:szCs w:val="24"/>
        </w:rPr>
        <w:t xml:space="preserve">Are there convergent pathways where multiple cluster genes target the same downstream process?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Functional mechanism summary for each cluster</w:t>
      </w:r>
    </w:p>
    <w:p>
      <w:pPr>
        <w:pStyle w:val="ListParagraph"/>
        <w:numPr>
          <w:ilvl w:val="0"/>
          <w:numId w:val="2"/>
        </w:numPr>
      </w:pPr>
      <w:r>
        <w:rPr>
          <w:rFonts w:ascii="Arial" w:cs="Arial" w:eastAsia="Arial" w:hAnsi="Arial"/>
          <w:sz w:val="24"/>
          <w:szCs w:val="24"/>
        </w:rPr>
        <w:t xml:space="preserve">Regulatory network maps showing gene relationships</w:t>
      </w:r>
    </w:p>
    <w:p>
      <w:pPr>
        <w:pStyle w:val="ListParagraph"/>
        <w:numPr>
          <w:ilvl w:val="0"/>
          <w:numId w:val="2"/>
        </w:numPr>
      </w:pPr>
      <w:r>
        <w:rPr>
          <w:rFonts w:ascii="Arial" w:cs="Arial" w:eastAsia="Arial" w:hAnsi="Arial"/>
          <w:sz w:val="24"/>
          <w:szCs w:val="24"/>
        </w:rPr>
        <w:t xml:space="preserve">Pathway enrichment analysis by cluster</w:t>
      </w:r>
    </w:p>
    <w:p>
      <w:pPr>
        <w:pStyle w:val="ListParagraph"/>
        <w:numPr>
          <w:ilvl w:val="0"/>
          <w:numId w:val="2"/>
        </w:numPr>
      </w:pPr>
      <w:r>
        <w:rPr>
          <w:rFonts w:ascii="Arial" w:cs="Arial" w:eastAsia="Arial" w:hAnsi="Arial"/>
          <w:sz w:val="24"/>
          <w:szCs w:val="24"/>
        </w:rPr>
        <w:t xml:space="preserve">Upstream genetic variant summary</w:t>
      </w:r>
    </w:p>
    <w:p>
      <w:pPr>
        <w:pStyle w:val="ListParagraph"/>
        <w:numPr>
          <w:ilvl w:val="0"/>
          <w:numId w:val="2"/>
        </w:numPr>
      </w:pPr>
      <w:r>
        <w:rPr>
          <w:rFonts w:ascii="Arial" w:cs="Arial" w:eastAsia="Arial" w:hAnsi="Arial"/>
          <w:sz w:val="24"/>
          <w:szCs w:val="24"/>
        </w:rPr>
        <w:t xml:space="preserve">Downstream effector gene identification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Network diagrams (GraphML), pathway maps (KEGG/Reactome screenshots), and mechanistic summary tables (CSV)</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Search drug development and therapeutic target databases to identify compounds with known activity against cluster-specific targets and mechanisms. Compile information on available drugs (FDA-approved and investigational) with relevant mechanisms of action. Extract detailed information on mechanism, pharmacology, available formulations, and current clinical trial status for all relevant compounds.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Therapeutic target databases (DGIdb, TTD, DrugBank)</w:t>
      </w:r>
    </w:p>
    <w:p>
      <w:pPr>
        <w:pStyle w:val="ListParagraph"/>
        <w:numPr>
          <w:ilvl w:val="0"/>
          <w:numId w:val="2"/>
        </w:numPr>
      </w:pPr>
      <w:r>
        <w:rPr>
          <w:rFonts w:ascii="Arial" w:cs="Arial" w:eastAsia="Arial" w:hAnsi="Arial"/>
          <w:sz w:val="24"/>
          <w:szCs w:val="24"/>
        </w:rPr>
        <w:t xml:space="preserve">FDA drug approvals database</w:t>
      </w:r>
    </w:p>
    <w:p>
      <w:pPr>
        <w:pStyle w:val="ListParagraph"/>
        <w:numPr>
          <w:ilvl w:val="0"/>
          <w:numId w:val="2"/>
        </w:numPr>
      </w:pPr>
      <w:r>
        <w:rPr>
          <w:rFonts w:ascii="Arial" w:cs="Arial" w:eastAsia="Arial" w:hAnsi="Arial"/>
          <w:sz w:val="24"/>
          <w:szCs w:val="24"/>
        </w:rPr>
        <w:t xml:space="preserve">ClinicalTrials.gov active trial listings</w:t>
      </w:r>
    </w:p>
    <w:p>
      <w:pPr>
        <w:pStyle w:val="ListParagraph"/>
        <w:numPr>
          <w:ilvl w:val="0"/>
          <w:numId w:val="2"/>
        </w:numPr>
      </w:pPr>
      <w:r>
        <w:rPr>
          <w:rFonts w:ascii="Arial" w:cs="Arial" w:eastAsia="Arial" w:hAnsi="Arial"/>
          <w:sz w:val="24"/>
          <w:szCs w:val="24"/>
        </w:rPr>
        <w:t xml:space="preserve">Drug mechanism-of-action databases</w:t>
      </w:r>
    </w:p>
    <w:p>
      <w:pPr>
        <w:pStyle w:val="ListParagraph"/>
        <w:numPr>
          <w:ilvl w:val="0"/>
          <w:numId w:val="2"/>
        </w:numPr>
      </w:pPr>
      <w:r>
        <w:rPr>
          <w:rFonts w:ascii="Arial" w:cs="Arial" w:eastAsia="Arial" w:hAnsi="Arial"/>
          <w:sz w:val="24"/>
          <w:szCs w:val="24"/>
        </w:rPr>
        <w:t xml:space="preserve">Published drug response prediction studies</w:t>
      </w:r>
    </w:p>
    <w:p>
      <w:pPr>
        <w:pStyle w:val="ListParagraph"/>
        <w:numPr>
          <w:ilvl w:val="0"/>
          <w:numId w:val="2"/>
        </w:numPr>
      </w:pPr>
      <w:r>
        <w:rPr>
          <w:rFonts w:ascii="Arial" w:cs="Arial" w:eastAsia="Arial" w:hAnsi="Arial"/>
          <w:sz w:val="24"/>
          <w:szCs w:val="24"/>
        </w:rPr>
        <w:t xml:space="preserve">Pharmacology and toxicology literature</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DGIdb drug-gene interaction database</w:t>
      </w:r>
    </w:p>
    <w:p>
      <w:pPr>
        <w:pStyle w:val="ListParagraph"/>
        <w:numPr>
          <w:ilvl w:val="0"/>
          <w:numId w:val="2"/>
        </w:numPr>
      </w:pPr>
      <w:r>
        <w:rPr>
          <w:rFonts w:ascii="Arial" w:cs="Arial" w:eastAsia="Arial" w:hAnsi="Arial"/>
          <w:sz w:val="24"/>
          <w:szCs w:val="24"/>
        </w:rPr>
        <w:t xml:space="preserve">Therapeutic Target Database (TTD)</w:t>
      </w:r>
    </w:p>
    <w:p>
      <w:pPr>
        <w:pStyle w:val="ListParagraph"/>
        <w:numPr>
          <w:ilvl w:val="0"/>
          <w:numId w:val="2"/>
        </w:numPr>
      </w:pPr>
      <w:r>
        <w:rPr>
          <w:rFonts w:ascii="Arial" w:cs="Arial" w:eastAsia="Arial" w:hAnsi="Arial"/>
          <w:sz w:val="24"/>
          <w:szCs w:val="24"/>
        </w:rPr>
        <w:t xml:space="preserve">DrugBank compound database</w:t>
      </w:r>
    </w:p>
    <w:p>
      <w:pPr>
        <w:pStyle w:val="ListParagraph"/>
        <w:numPr>
          <w:ilvl w:val="0"/>
          <w:numId w:val="2"/>
        </w:numPr>
      </w:pPr>
      <w:r>
        <w:rPr>
          <w:rFonts w:ascii="Arial" w:cs="Arial" w:eastAsia="Arial" w:hAnsi="Arial"/>
          <w:sz w:val="24"/>
          <w:szCs w:val="24"/>
        </w:rPr>
        <w:t xml:space="preserve">PubChem chemical structure database</w:t>
      </w:r>
    </w:p>
    <w:p>
      <w:pPr>
        <w:pStyle w:val="ListParagraph"/>
        <w:numPr>
          <w:ilvl w:val="0"/>
          <w:numId w:val="2"/>
        </w:numPr>
      </w:pPr>
      <w:r>
        <w:rPr>
          <w:rFonts w:ascii="Arial" w:cs="Arial" w:eastAsia="Arial" w:hAnsi="Arial"/>
          <w:sz w:val="24"/>
          <w:szCs w:val="24"/>
        </w:rPr>
        <w:t xml:space="preserve">ChEMBL chemical genomics data</w:t>
      </w:r>
    </w:p>
    <w:p>
      <w:pPr>
        <w:pStyle w:val="ListParagraph"/>
        <w:numPr>
          <w:ilvl w:val="0"/>
          <w:numId w:val="2"/>
        </w:numPr>
      </w:pPr>
      <w:r>
        <w:rPr>
          <w:rFonts w:ascii="Arial" w:cs="Arial" w:eastAsia="Arial" w:hAnsi="Arial"/>
          <w:sz w:val="24"/>
          <w:szCs w:val="24"/>
        </w:rPr>
        <w:t xml:space="preserve">FDA Orange Book approved drugs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all FDA-approved and investigational drugs targeting genes within each cluster?</w:t>
      </w:r>
    </w:p>
    <w:p>
      <w:pPr>
        <w:pStyle w:val="ListParagraph"/>
        <w:numPr>
          <w:ilvl w:val="0"/>
          <w:numId w:val="2"/>
        </w:numPr>
      </w:pPr>
      <w:r>
        <w:rPr>
          <w:rFonts w:ascii="Arial" w:cs="Arial" w:eastAsia="Arial" w:hAnsi="Arial"/>
          <w:i/>
          <w:iCs/>
          <w:sz w:val="24"/>
          <w:szCs w:val="24"/>
        </w:rPr>
        <w:t xml:space="preserve">Which mechanisms of action are most frequently targeted for epilepsy versus other neurological diseases?</w:t>
      </w:r>
    </w:p>
    <w:p>
      <w:pPr>
        <w:pStyle w:val="ListParagraph"/>
        <w:numPr>
          <w:ilvl w:val="0"/>
          <w:numId w:val="2"/>
        </w:numPr>
      </w:pPr>
      <w:r>
        <w:rPr>
          <w:rFonts w:ascii="Arial" w:cs="Arial" w:eastAsia="Arial" w:hAnsi="Arial"/>
          <w:i/>
          <w:iCs/>
          <w:sz w:val="24"/>
          <w:szCs w:val="24"/>
        </w:rPr>
        <w:t xml:space="preserve">Are there drugs approved for other indications that might have relevant mechanisms for specific DEE clusters?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drug-target interaction table by cluster</w:t>
      </w:r>
    </w:p>
    <w:p>
      <w:pPr>
        <w:pStyle w:val="ListParagraph"/>
        <w:numPr>
          <w:ilvl w:val="0"/>
          <w:numId w:val="2"/>
        </w:numPr>
      </w:pPr>
      <w:r>
        <w:rPr>
          <w:rFonts w:ascii="Arial" w:cs="Arial" w:eastAsia="Arial" w:hAnsi="Arial"/>
          <w:sz w:val="24"/>
          <w:szCs w:val="24"/>
        </w:rPr>
        <w:t xml:space="preserve">Approved and investigational compound list</w:t>
      </w:r>
    </w:p>
    <w:p>
      <w:pPr>
        <w:pStyle w:val="ListParagraph"/>
        <w:numPr>
          <w:ilvl w:val="0"/>
          <w:numId w:val="2"/>
        </w:numPr>
      </w:pPr>
      <w:r>
        <w:rPr>
          <w:rFonts w:ascii="Arial" w:cs="Arial" w:eastAsia="Arial" w:hAnsi="Arial"/>
          <w:sz w:val="24"/>
          <w:szCs w:val="24"/>
        </w:rPr>
        <w:t xml:space="preserve">Mechanism-of-action classification table</w:t>
      </w:r>
    </w:p>
    <w:p>
      <w:pPr>
        <w:pStyle w:val="ListParagraph"/>
        <w:numPr>
          <w:ilvl w:val="0"/>
          <w:numId w:val="2"/>
        </w:numPr>
      </w:pPr>
      <w:r>
        <w:rPr>
          <w:rFonts w:ascii="Arial" w:cs="Arial" w:eastAsia="Arial" w:hAnsi="Arial"/>
          <w:sz w:val="24"/>
          <w:szCs w:val="24"/>
        </w:rPr>
        <w:t xml:space="preserve">Clinical trial status summary for relevant drugs</w:t>
      </w:r>
    </w:p>
    <w:p>
      <w:pPr>
        <w:pStyle w:val="ListParagraph"/>
        <w:numPr>
          <w:ilvl w:val="0"/>
          <w:numId w:val="2"/>
        </w:numPr>
      </w:pPr>
      <w:r>
        <w:rPr>
          <w:rFonts w:ascii="Arial" w:cs="Arial" w:eastAsia="Arial" w:hAnsi="Arial"/>
          <w:sz w:val="24"/>
          <w:szCs w:val="24"/>
        </w:rPr>
        <w:t xml:space="preserve">Drug pharmacology and safety profile comparison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Relational database (CSV) with drug-target associations, structured drug properties, and clinical status updates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Perform integrated analysis to match Angelini functional cluster mechanisms with identified therapeutic targets and available drugs. Score each cluster-drug combination based on mechanism alignment, target specificity, and developmental stage. Categorize clusters into precision medicine candidates (cluster-specific drug available) versus mechanism-based therapy candidates (target shared downstream pathway).</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Functional cluster mechanisms from Stage 1</w:t>
      </w:r>
    </w:p>
    <w:p>
      <w:pPr>
        <w:pStyle w:val="ListParagraph"/>
        <w:numPr>
          <w:ilvl w:val="0"/>
          <w:numId w:val="2"/>
        </w:numPr>
      </w:pPr>
      <w:r>
        <w:rPr>
          <w:rFonts w:ascii="Arial" w:cs="Arial" w:eastAsia="Arial" w:hAnsi="Arial"/>
          <w:sz w:val="24"/>
          <w:szCs w:val="24"/>
        </w:rPr>
        <w:t xml:space="preserve">Drug-target database from Stage 2</w:t>
      </w:r>
    </w:p>
    <w:p>
      <w:pPr>
        <w:pStyle w:val="ListParagraph"/>
        <w:numPr>
          <w:ilvl w:val="0"/>
          <w:numId w:val="2"/>
        </w:numPr>
      </w:pPr>
      <w:r>
        <w:rPr>
          <w:rFonts w:ascii="Arial" w:cs="Arial" w:eastAsia="Arial" w:hAnsi="Arial"/>
          <w:sz w:val="24"/>
          <w:szCs w:val="24"/>
        </w:rPr>
        <w:t xml:space="preserve">Target specificity and selectivity information</w:t>
      </w:r>
    </w:p>
    <w:p>
      <w:pPr>
        <w:pStyle w:val="ListParagraph"/>
        <w:numPr>
          <w:ilvl w:val="0"/>
          <w:numId w:val="2"/>
        </w:numPr>
      </w:pPr>
      <w:r>
        <w:rPr>
          <w:rFonts w:ascii="Arial" w:cs="Arial" w:eastAsia="Arial" w:hAnsi="Arial"/>
          <w:sz w:val="24"/>
          <w:szCs w:val="24"/>
        </w:rPr>
        <w:t xml:space="preserve">Clinical efficacy data for relevant drugs</w:t>
      </w:r>
    </w:p>
    <w:p>
      <w:pPr>
        <w:pStyle w:val="ListParagraph"/>
        <w:numPr>
          <w:ilvl w:val="0"/>
          <w:numId w:val="2"/>
        </w:numPr>
      </w:pPr>
      <w:r>
        <w:rPr>
          <w:rFonts w:ascii="Arial" w:cs="Arial" w:eastAsia="Arial" w:hAnsi="Arial"/>
          <w:sz w:val="24"/>
          <w:szCs w:val="24"/>
        </w:rPr>
        <w:t xml:space="preserve">Mechanism-of-action alignment scoring matrix</w:t>
      </w:r>
    </w:p>
    <w:p>
      <w:pPr>
        <w:pStyle w:val="ListParagraph"/>
        <w:numPr>
          <w:ilvl w:val="0"/>
          <w:numId w:val="2"/>
        </w:numPr>
      </w:pPr>
      <w:r>
        <w:rPr>
          <w:rFonts w:ascii="Arial" w:cs="Arial" w:eastAsia="Arial" w:hAnsi="Arial"/>
          <w:sz w:val="24"/>
          <w:szCs w:val="24"/>
        </w:rPr>
        <w:t xml:space="preserve">Cluster pathophysiology descriptions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Drug-target matching algorithms</w:t>
      </w:r>
    </w:p>
    <w:p>
      <w:pPr>
        <w:pStyle w:val="ListParagraph"/>
        <w:numPr>
          <w:ilvl w:val="0"/>
          <w:numId w:val="2"/>
        </w:numPr>
      </w:pPr>
      <w:r>
        <w:rPr>
          <w:rFonts w:ascii="Arial" w:cs="Arial" w:eastAsia="Arial" w:hAnsi="Arial"/>
          <w:sz w:val="24"/>
          <w:szCs w:val="24"/>
        </w:rPr>
        <w:t xml:space="preserve">Selectivity scoring tools</w:t>
      </w:r>
    </w:p>
    <w:p>
      <w:pPr>
        <w:pStyle w:val="ListParagraph"/>
        <w:numPr>
          <w:ilvl w:val="0"/>
          <w:numId w:val="2"/>
        </w:numPr>
      </w:pPr>
      <w:r>
        <w:rPr>
          <w:rFonts w:ascii="Arial" w:cs="Arial" w:eastAsia="Arial" w:hAnsi="Arial"/>
          <w:sz w:val="24"/>
          <w:szCs w:val="24"/>
        </w:rPr>
        <w:t xml:space="preserve">Mechanism-of-action ontology (Bioplanet)</w:t>
      </w:r>
    </w:p>
    <w:p>
      <w:pPr>
        <w:pStyle w:val="ListParagraph"/>
        <w:numPr>
          <w:ilvl w:val="0"/>
          <w:numId w:val="2"/>
        </w:numPr>
      </w:pPr>
      <w:r>
        <w:rPr>
          <w:rFonts w:ascii="Arial" w:cs="Arial" w:eastAsia="Arial" w:hAnsi="Arial"/>
          <w:sz w:val="24"/>
          <w:szCs w:val="24"/>
        </w:rPr>
        <w:t xml:space="preserve">Therapeutic area classification systems</w:t>
      </w:r>
    </w:p>
    <w:p>
      <w:pPr>
        <w:pStyle w:val="ListParagraph"/>
        <w:numPr>
          <w:ilvl w:val="0"/>
          <w:numId w:val="2"/>
        </w:numPr>
      </w:pPr>
      <w:r>
        <w:rPr>
          <w:rFonts w:ascii="Arial" w:cs="Arial" w:eastAsia="Arial" w:hAnsi="Arial"/>
          <w:sz w:val="24"/>
          <w:szCs w:val="24"/>
        </w:rPr>
        <w:t xml:space="preserve">Systems pharmacology modeling tools</w:t>
      </w:r>
    </w:p>
    <w:p>
      <w:pPr>
        <w:pStyle w:val="ListParagraph"/>
        <w:numPr>
          <w:ilvl w:val="0"/>
          <w:numId w:val="2"/>
        </w:numPr>
      </w:pPr>
      <w:r>
        <w:rPr>
          <w:rFonts w:ascii="Arial" w:cs="Arial" w:eastAsia="Arial" w:hAnsi="Arial"/>
          <w:sz w:val="24"/>
          <w:szCs w:val="24"/>
        </w:rPr>
        <w:t xml:space="preserve">Drug repurposing prediction algorithms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Which clusters have specific gene targets with existing drugs (precision medicine candidates)?</w:t>
      </w:r>
    </w:p>
    <w:p>
      <w:pPr>
        <w:pStyle w:val="ListParagraph"/>
        <w:numPr>
          <w:ilvl w:val="0"/>
          <w:numId w:val="2"/>
        </w:numPr>
      </w:pPr>
      <w:r>
        <w:rPr>
          <w:rFonts w:ascii="Arial" w:cs="Arial" w:eastAsia="Arial" w:hAnsi="Arial"/>
          <w:i/>
          <w:iCs/>
          <w:sz w:val="24"/>
          <w:szCs w:val="24"/>
        </w:rPr>
        <w:t xml:space="preserve">Which clusters converge on shared downstream pathways targetable by broader mechanism-based drugs?</w:t>
      </w:r>
    </w:p>
    <w:p>
      <w:pPr>
        <w:pStyle w:val="ListParagraph"/>
        <w:numPr>
          <w:ilvl w:val="0"/>
          <w:numId w:val="2"/>
        </w:numPr>
      </w:pPr>
      <w:r>
        <w:rPr>
          <w:rFonts w:ascii="Arial" w:cs="Arial" w:eastAsia="Arial" w:hAnsi="Arial"/>
          <w:i/>
          <w:iCs/>
          <w:sz w:val="24"/>
          <w:szCs w:val="24"/>
        </w:rPr>
        <w:t xml:space="preserve">Are there opportunities for drug combination strategies within specific clusters?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Cluster-to-drug matching matrix with mechanism alignment scores</w:t>
      </w:r>
    </w:p>
    <w:p>
      <w:pPr>
        <w:pStyle w:val="ListParagraph"/>
        <w:numPr>
          <w:ilvl w:val="0"/>
          <w:numId w:val="2"/>
        </w:numPr>
      </w:pPr>
      <w:r>
        <w:rPr>
          <w:rFonts w:ascii="Arial" w:cs="Arial" w:eastAsia="Arial" w:hAnsi="Arial"/>
          <w:sz w:val="24"/>
          <w:szCs w:val="24"/>
        </w:rPr>
        <w:t xml:space="preserve">Precision medicine candidates ranked by confidence</w:t>
      </w:r>
    </w:p>
    <w:p>
      <w:pPr>
        <w:pStyle w:val="ListParagraph"/>
        <w:numPr>
          <w:ilvl w:val="0"/>
          <w:numId w:val="2"/>
        </w:numPr>
      </w:pPr>
      <w:r>
        <w:rPr>
          <w:rFonts w:ascii="Arial" w:cs="Arial" w:eastAsia="Arial" w:hAnsi="Arial"/>
          <w:sz w:val="24"/>
          <w:szCs w:val="24"/>
        </w:rPr>
        <w:t xml:space="preserve">Mechanism-based therapy opportunities identified</w:t>
      </w:r>
    </w:p>
    <w:p>
      <w:pPr>
        <w:pStyle w:val="ListParagraph"/>
        <w:numPr>
          <w:ilvl w:val="0"/>
          <w:numId w:val="2"/>
        </w:numPr>
      </w:pPr>
      <w:r>
        <w:rPr>
          <w:rFonts w:ascii="Arial" w:cs="Arial" w:eastAsia="Arial" w:hAnsi="Arial"/>
          <w:sz w:val="24"/>
          <w:szCs w:val="24"/>
        </w:rPr>
        <w:t xml:space="preserve">Drug combination strategy recommendations</w:t>
      </w:r>
    </w:p>
    <w:p>
      <w:pPr>
        <w:pStyle w:val="ListParagraph"/>
        <w:numPr>
          <w:ilvl w:val="0"/>
          <w:numId w:val="2"/>
        </w:numPr>
      </w:pPr>
      <w:r>
        <w:rPr>
          <w:rFonts w:ascii="Arial" w:cs="Arial" w:eastAsia="Arial" w:hAnsi="Arial"/>
          <w:sz w:val="24"/>
          <w:szCs w:val="24"/>
        </w:rPr>
        <w:t xml:space="preserve">Therapeutic target ranking by cluster and across clusters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Scoring matrix (CSV), prioritization ranking table, and strategic recommendations document (PDF)</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Design precision medicine clinical trial strategies for high-confidence cluster-specific targets and mechanism-based therapy approaches. Develop trial designs appropriate for rare disease populations including basket trials, umbrella trials, and n-of-1 designs. Establish biomarker-driven patient selection strategies and define clinical endpoints optimized for each approach.</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Cluster-drug matching results from Stage 3</w:t>
      </w:r>
    </w:p>
    <w:p>
      <w:pPr>
        <w:pStyle w:val="ListParagraph"/>
        <w:numPr>
          <w:ilvl w:val="0"/>
          <w:numId w:val="2"/>
        </w:numPr>
      </w:pPr>
      <w:r>
        <w:rPr>
          <w:rFonts w:ascii="Arial" w:cs="Arial" w:eastAsia="Arial" w:hAnsi="Arial"/>
          <w:sz w:val="24"/>
          <w:szCs w:val="24"/>
        </w:rPr>
        <w:t xml:space="preserve">Basket and umbrella trial design frameworks</w:t>
      </w:r>
    </w:p>
    <w:p>
      <w:pPr>
        <w:pStyle w:val="ListParagraph"/>
        <w:numPr>
          <w:ilvl w:val="0"/>
          <w:numId w:val="2"/>
        </w:numPr>
      </w:pPr>
      <w:r>
        <w:rPr>
          <w:rFonts w:ascii="Arial" w:cs="Arial" w:eastAsia="Arial" w:hAnsi="Arial"/>
          <w:sz w:val="24"/>
          <w:szCs w:val="24"/>
        </w:rPr>
        <w:t xml:space="preserve">Biomarker-driven stratification approaches</w:t>
      </w:r>
    </w:p>
    <w:p>
      <w:pPr>
        <w:pStyle w:val="ListParagraph"/>
        <w:numPr>
          <w:ilvl w:val="0"/>
          <w:numId w:val="2"/>
        </w:numPr>
      </w:pPr>
      <w:r>
        <w:rPr>
          <w:rFonts w:ascii="Arial" w:cs="Arial" w:eastAsia="Arial" w:hAnsi="Arial"/>
          <w:sz w:val="24"/>
          <w:szCs w:val="24"/>
        </w:rPr>
        <w:t xml:space="preserve">Rare disease trial design guidance documents</w:t>
      </w:r>
    </w:p>
    <w:p>
      <w:pPr>
        <w:pStyle w:val="ListParagraph"/>
        <w:numPr>
          <w:ilvl w:val="0"/>
          <w:numId w:val="2"/>
        </w:numPr>
      </w:pPr>
      <w:r>
        <w:rPr>
          <w:rFonts w:ascii="Arial" w:cs="Arial" w:eastAsia="Arial" w:hAnsi="Arial"/>
          <w:sz w:val="24"/>
          <w:szCs w:val="24"/>
        </w:rPr>
        <w:t xml:space="preserve">Patient stratification algorithms</w:t>
      </w:r>
    </w:p>
    <w:p>
      <w:pPr>
        <w:pStyle w:val="ListParagraph"/>
        <w:numPr>
          <w:ilvl w:val="0"/>
          <w:numId w:val="2"/>
        </w:numPr>
      </w:pPr>
      <w:r>
        <w:rPr>
          <w:rFonts w:ascii="Arial" w:cs="Arial" w:eastAsia="Arial" w:hAnsi="Arial"/>
          <w:sz w:val="24"/>
          <w:szCs w:val="24"/>
        </w:rPr>
        <w:t xml:space="preserve">Statistical designs for small trial populations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Clinical trial design planning software</w:t>
      </w:r>
    </w:p>
    <w:p>
      <w:pPr>
        <w:pStyle w:val="ListParagraph"/>
        <w:numPr>
          <w:ilvl w:val="0"/>
          <w:numId w:val="2"/>
        </w:numPr>
      </w:pPr>
      <w:r>
        <w:rPr>
          <w:rFonts w:ascii="Arial" w:cs="Arial" w:eastAsia="Arial" w:hAnsi="Arial"/>
          <w:sz w:val="24"/>
          <w:szCs w:val="24"/>
        </w:rPr>
        <w:t xml:space="preserve">Basket trial statistical frameworks</w:t>
      </w:r>
    </w:p>
    <w:p>
      <w:pPr>
        <w:pStyle w:val="ListParagraph"/>
        <w:numPr>
          <w:ilvl w:val="0"/>
          <w:numId w:val="2"/>
        </w:numPr>
      </w:pPr>
      <w:r>
        <w:rPr>
          <w:rFonts w:ascii="Arial" w:cs="Arial" w:eastAsia="Arial" w:hAnsi="Arial"/>
          <w:sz w:val="24"/>
          <w:szCs w:val="24"/>
        </w:rPr>
        <w:t xml:space="preserve">Umbrella trial protocol templates</w:t>
      </w:r>
    </w:p>
    <w:p>
      <w:pPr>
        <w:pStyle w:val="ListParagraph"/>
        <w:numPr>
          <w:ilvl w:val="0"/>
          <w:numId w:val="2"/>
        </w:numPr>
      </w:pPr>
      <w:r>
        <w:rPr>
          <w:rFonts w:ascii="Arial" w:cs="Arial" w:eastAsia="Arial" w:hAnsi="Arial"/>
          <w:sz w:val="24"/>
          <w:szCs w:val="24"/>
        </w:rPr>
        <w:t xml:space="preserve">Adaptive design software (EAST, ADDPLAN)</w:t>
      </w:r>
    </w:p>
    <w:p>
      <w:pPr>
        <w:pStyle w:val="ListParagraph"/>
        <w:numPr>
          <w:ilvl w:val="0"/>
          <w:numId w:val="2"/>
        </w:numPr>
      </w:pPr>
      <w:r>
        <w:rPr>
          <w:rFonts w:ascii="Arial" w:cs="Arial" w:eastAsia="Arial" w:hAnsi="Arial"/>
          <w:sz w:val="24"/>
          <w:szCs w:val="24"/>
        </w:rPr>
        <w:t xml:space="preserve">Patient stratification tools</w:t>
      </w:r>
    </w:p>
    <w:p>
      <w:pPr>
        <w:pStyle w:val="ListParagraph"/>
        <w:numPr>
          <w:ilvl w:val="0"/>
          <w:numId w:val="2"/>
        </w:numPr>
      </w:pPr>
      <w:r>
        <w:rPr>
          <w:rFonts w:ascii="Arial" w:cs="Arial" w:eastAsia="Arial" w:hAnsi="Arial"/>
          <w:sz w:val="24"/>
          <w:szCs w:val="24"/>
        </w:rPr>
        <w:t xml:space="preserve">Sample size calculators for rare diseases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is the optimal trial design for a cluster-specific drug in a DEE subpopulation?</w:t>
      </w:r>
    </w:p>
    <w:p>
      <w:pPr>
        <w:pStyle w:val="ListParagraph"/>
        <w:numPr>
          <w:ilvl w:val="0"/>
          <w:numId w:val="2"/>
        </w:numPr>
      </w:pPr>
      <w:r>
        <w:rPr>
          <w:rFonts w:ascii="Arial" w:cs="Arial" w:eastAsia="Arial" w:hAnsi="Arial"/>
          <w:i/>
          <w:iCs/>
          <w:sz w:val="24"/>
          <w:szCs w:val="24"/>
        </w:rPr>
        <w:t xml:space="preserve">How should biomarkers be integrated into basket trial designs across multiple DEE clusters?</w:t>
      </w:r>
    </w:p>
    <w:p>
      <w:pPr>
        <w:pStyle w:val="ListParagraph"/>
        <w:numPr>
          <w:ilvl w:val="0"/>
          <w:numId w:val="2"/>
        </w:numPr>
      </w:pPr>
      <w:r>
        <w:rPr>
          <w:rFonts w:ascii="Arial" w:cs="Arial" w:eastAsia="Arial" w:hAnsi="Arial"/>
          <w:i/>
          <w:iCs/>
          <w:sz w:val="24"/>
          <w:szCs w:val="24"/>
        </w:rPr>
        <w:t xml:space="preserve">What are realistic sample size and timeline expectations for rare disease DEE trials?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Precision medicine trial design specification</w:t>
      </w:r>
    </w:p>
    <w:p>
      <w:pPr>
        <w:pStyle w:val="ListParagraph"/>
        <w:numPr>
          <w:ilvl w:val="0"/>
          <w:numId w:val="2"/>
        </w:numPr>
      </w:pPr>
      <w:r>
        <w:rPr>
          <w:rFonts w:ascii="Arial" w:cs="Arial" w:eastAsia="Arial" w:hAnsi="Arial"/>
          <w:sz w:val="24"/>
          <w:szCs w:val="24"/>
        </w:rPr>
        <w:t xml:space="preserve">Basket/umbrella trial protocol framework</w:t>
      </w:r>
    </w:p>
    <w:p>
      <w:pPr>
        <w:pStyle w:val="ListParagraph"/>
        <w:numPr>
          <w:ilvl w:val="0"/>
          <w:numId w:val="2"/>
        </w:numPr>
      </w:pPr>
      <w:r>
        <w:rPr>
          <w:rFonts w:ascii="Arial" w:cs="Arial" w:eastAsia="Arial" w:hAnsi="Arial"/>
          <w:sz w:val="24"/>
          <w:szCs w:val="24"/>
        </w:rPr>
        <w:t xml:space="preserve">Biomarker-driven stratification strategy</w:t>
      </w:r>
    </w:p>
    <w:p>
      <w:pPr>
        <w:pStyle w:val="ListParagraph"/>
        <w:numPr>
          <w:ilvl w:val="0"/>
          <w:numId w:val="2"/>
        </w:numPr>
      </w:pPr>
      <w:r>
        <w:rPr>
          <w:rFonts w:ascii="Arial" w:cs="Arial" w:eastAsia="Arial" w:hAnsi="Arial"/>
          <w:sz w:val="24"/>
          <w:szCs w:val="24"/>
        </w:rPr>
        <w:t xml:space="preserve">Statistical analysis plan for adaptive designs</w:t>
      </w:r>
    </w:p>
    <w:p>
      <w:pPr>
        <w:pStyle w:val="ListParagraph"/>
        <w:numPr>
          <w:ilvl w:val="0"/>
          <w:numId w:val="2"/>
        </w:numPr>
      </w:pPr>
      <w:r>
        <w:rPr>
          <w:rFonts w:ascii="Arial" w:cs="Arial" w:eastAsia="Arial" w:hAnsi="Arial"/>
          <w:sz w:val="24"/>
          <w:szCs w:val="24"/>
        </w:rPr>
        <w:t xml:space="preserve">Sample size and trial timeline projections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Clinical trial protocol document (PDF) with statistical design appendices and adaptive trial specifications</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Assess commercial and regulatory feasibility of precision medicine and mechanism-based approaches for each cluster. Analyze market size, potential patient population, drug development timelines, and regulatory pathway options. Identify barriers and enablers for clinical translation and commercialization of cluster-specific therapies.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Patient prevalence data for each DEE genotype</w:t>
      </w:r>
    </w:p>
    <w:p>
      <w:pPr>
        <w:pStyle w:val="ListParagraph"/>
        <w:numPr>
          <w:ilvl w:val="0"/>
          <w:numId w:val="2"/>
        </w:numPr>
      </w:pPr>
      <w:r>
        <w:rPr>
          <w:rFonts w:ascii="Arial" w:cs="Arial" w:eastAsia="Arial" w:hAnsi="Arial"/>
          <w:sz w:val="24"/>
          <w:szCs w:val="24"/>
        </w:rPr>
        <w:t xml:space="preserve">Drug development cost and timeline estimates</w:t>
      </w:r>
    </w:p>
    <w:p>
      <w:pPr>
        <w:pStyle w:val="ListParagraph"/>
        <w:numPr>
          <w:ilvl w:val="0"/>
          <w:numId w:val="2"/>
        </w:numPr>
      </w:pPr>
      <w:r>
        <w:rPr>
          <w:rFonts w:ascii="Arial" w:cs="Arial" w:eastAsia="Arial" w:hAnsi="Arial"/>
          <w:sz w:val="24"/>
          <w:szCs w:val="24"/>
        </w:rPr>
        <w:t xml:space="preserve">Regulatory guidance for rare disease drugs</w:t>
      </w:r>
    </w:p>
    <w:p>
      <w:pPr>
        <w:pStyle w:val="ListParagraph"/>
        <w:numPr>
          <w:ilvl w:val="0"/>
          <w:numId w:val="2"/>
        </w:numPr>
      </w:pPr>
      <w:r>
        <w:rPr>
          <w:rFonts w:ascii="Arial" w:cs="Arial" w:eastAsia="Arial" w:hAnsi="Arial"/>
          <w:sz w:val="24"/>
          <w:szCs w:val="24"/>
        </w:rPr>
        <w:t xml:space="preserve">Market analysis for rare neurological diseases</w:t>
      </w:r>
    </w:p>
    <w:p>
      <w:pPr>
        <w:pStyle w:val="ListParagraph"/>
        <w:numPr>
          <w:ilvl w:val="0"/>
          <w:numId w:val="2"/>
        </w:numPr>
      </w:pPr>
      <w:r>
        <w:rPr>
          <w:rFonts w:ascii="Arial" w:cs="Arial" w:eastAsia="Arial" w:hAnsi="Arial"/>
          <w:sz w:val="24"/>
          <w:szCs w:val="24"/>
        </w:rPr>
        <w:t xml:space="preserve">Reimbursement landscape for precision medicines</w:t>
      </w:r>
    </w:p>
    <w:p>
      <w:pPr>
        <w:pStyle w:val="ListParagraph"/>
        <w:numPr>
          <w:ilvl w:val="0"/>
          <w:numId w:val="2"/>
        </w:numPr>
      </w:pPr>
      <w:r>
        <w:rPr>
          <w:rFonts w:ascii="Arial" w:cs="Arial" w:eastAsia="Arial" w:hAnsi="Arial"/>
          <w:sz w:val="24"/>
          <w:szCs w:val="24"/>
        </w:rPr>
        <w:t xml:space="preserve">Intellectual property and patent status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Rare disease patient registry data</w:t>
      </w:r>
    </w:p>
    <w:p>
      <w:pPr>
        <w:pStyle w:val="ListParagraph"/>
        <w:numPr>
          <w:ilvl w:val="0"/>
          <w:numId w:val="2"/>
        </w:numPr>
      </w:pPr>
      <w:r>
        <w:rPr>
          <w:rFonts w:ascii="Arial" w:cs="Arial" w:eastAsia="Arial" w:hAnsi="Arial"/>
          <w:sz w:val="24"/>
          <w:szCs w:val="24"/>
        </w:rPr>
        <w:t xml:space="preserve">Drug development project cost models</w:t>
      </w:r>
    </w:p>
    <w:p>
      <w:pPr>
        <w:pStyle w:val="ListParagraph"/>
        <w:numPr>
          <w:ilvl w:val="0"/>
          <w:numId w:val="2"/>
        </w:numPr>
      </w:pPr>
      <w:r>
        <w:rPr>
          <w:rFonts w:ascii="Arial" w:cs="Arial" w:eastAsia="Arial" w:hAnsi="Arial"/>
          <w:sz w:val="24"/>
          <w:szCs w:val="24"/>
        </w:rPr>
        <w:t xml:space="preserve">FDA breakthrough therapy and orphan drug guidance</w:t>
      </w:r>
    </w:p>
    <w:p>
      <w:pPr>
        <w:pStyle w:val="ListParagraph"/>
        <w:numPr>
          <w:ilvl w:val="0"/>
          <w:numId w:val="2"/>
        </w:numPr>
      </w:pPr>
      <w:r>
        <w:rPr>
          <w:rFonts w:ascii="Arial" w:cs="Arial" w:eastAsia="Arial" w:hAnsi="Arial"/>
          <w:sz w:val="24"/>
          <w:szCs w:val="24"/>
        </w:rPr>
        <w:t xml:space="preserve">Market research databases (IBISWorld, Frost&amp;Sullivan)</w:t>
      </w:r>
    </w:p>
    <w:p>
      <w:pPr>
        <w:pStyle w:val="ListParagraph"/>
        <w:numPr>
          <w:ilvl w:val="0"/>
          <w:numId w:val="2"/>
        </w:numPr>
      </w:pPr>
      <w:r>
        <w:rPr>
          <w:rFonts w:ascii="Arial" w:cs="Arial" w:eastAsia="Arial" w:hAnsi="Arial"/>
          <w:sz w:val="24"/>
          <w:szCs w:val="24"/>
        </w:rPr>
        <w:t xml:space="preserve">Reimbursement code databases (CPT, ICD)</w:t>
      </w:r>
    </w:p>
    <w:p>
      <w:pPr>
        <w:pStyle w:val="ListParagraph"/>
        <w:numPr>
          <w:ilvl w:val="0"/>
          <w:numId w:val="2"/>
        </w:numPr>
      </w:pPr>
      <w:r>
        <w:rPr>
          <w:rFonts w:ascii="Arial" w:cs="Arial" w:eastAsia="Arial" w:hAnsi="Arial"/>
          <w:sz w:val="24"/>
          <w:szCs w:val="24"/>
        </w:rPr>
        <w:t xml:space="preserve">Patent search tools (USPTO, Google Patents)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is the potential patient population for precision medicine approaches in each cluster?</w:t>
      </w:r>
    </w:p>
    <w:p>
      <w:pPr>
        <w:pStyle w:val="ListParagraph"/>
        <w:numPr>
          <w:ilvl w:val="0"/>
          <w:numId w:val="2"/>
        </w:numPr>
      </w:pPr>
      <w:r>
        <w:rPr>
          <w:rFonts w:ascii="Arial" w:cs="Arial" w:eastAsia="Arial" w:hAnsi="Arial"/>
          <w:i/>
          <w:iCs/>
          <w:sz w:val="24"/>
          <w:szCs w:val="24"/>
        </w:rPr>
        <w:t xml:space="preserve">What is the realistic timeline and cost for clinical translation of cluster-specific drugs?</w:t>
      </w:r>
    </w:p>
    <w:p>
      <w:pPr>
        <w:pStyle w:val="ListParagraph"/>
        <w:numPr>
          <w:ilvl w:val="0"/>
          <w:numId w:val="2"/>
        </w:numPr>
      </w:pPr>
      <w:r>
        <w:rPr>
          <w:rFonts w:ascii="Arial" w:cs="Arial" w:eastAsia="Arial" w:hAnsi="Arial"/>
          <w:i/>
          <w:iCs/>
          <w:sz w:val="24"/>
          <w:szCs w:val="24"/>
        </w:rPr>
        <w:t xml:space="preserve">Which regulatory pathways (breakthrough therapy, orphan drug, etc.) are most applicable?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Market size and patient prevalence analysis</w:t>
      </w:r>
    </w:p>
    <w:p>
      <w:pPr>
        <w:pStyle w:val="ListParagraph"/>
        <w:numPr>
          <w:ilvl w:val="0"/>
          <w:numId w:val="2"/>
        </w:numPr>
      </w:pPr>
      <w:r>
        <w:rPr>
          <w:rFonts w:ascii="Arial" w:cs="Arial" w:eastAsia="Arial" w:hAnsi="Arial"/>
          <w:sz w:val="24"/>
          <w:szCs w:val="24"/>
        </w:rPr>
        <w:t xml:space="preserve">Drug development feasibility assessment</w:t>
      </w:r>
    </w:p>
    <w:p>
      <w:pPr>
        <w:pStyle w:val="ListParagraph"/>
        <w:numPr>
          <w:ilvl w:val="0"/>
          <w:numId w:val="2"/>
        </w:numPr>
      </w:pPr>
      <w:r>
        <w:rPr>
          <w:rFonts w:ascii="Arial" w:cs="Arial" w:eastAsia="Arial" w:hAnsi="Arial"/>
          <w:sz w:val="24"/>
          <w:szCs w:val="24"/>
        </w:rPr>
        <w:t xml:space="preserve">Regulatory pathway recommendation by cluster</w:t>
      </w:r>
    </w:p>
    <w:p>
      <w:pPr>
        <w:pStyle w:val="ListParagraph"/>
        <w:numPr>
          <w:ilvl w:val="0"/>
          <w:numId w:val="2"/>
        </w:numPr>
      </w:pPr>
      <w:r>
        <w:rPr>
          <w:rFonts w:ascii="Arial" w:cs="Arial" w:eastAsia="Arial" w:hAnsi="Arial"/>
          <w:sz w:val="24"/>
          <w:szCs w:val="24"/>
        </w:rPr>
        <w:t xml:space="preserve">Commercialization strategy outline</w:t>
      </w:r>
    </w:p>
    <w:p>
      <w:pPr>
        <w:pStyle w:val="ListParagraph"/>
        <w:numPr>
          <w:ilvl w:val="0"/>
          <w:numId w:val="2"/>
        </w:numPr>
      </w:pPr>
      <w:r>
        <w:rPr>
          <w:rFonts w:ascii="Arial" w:cs="Arial" w:eastAsia="Arial" w:hAnsi="Arial"/>
          <w:sz w:val="24"/>
          <w:szCs w:val="24"/>
        </w:rPr>
        <w:t xml:space="preserve">Reimbursement and access strategy recommendations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Feasibility analysis report (PDF) with supporting market analysis tables and regulatory strategy documents</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Compile comprehensive therapeutic strategy recommendations integrating precision medicine and mechanism-based approaches. Develop prioritized roadmap for clinical translation of therapies targeting different clusters. Prepare publication and presentation materials for scientific community dissemination. Create detailed implementation guide for pharmaceutical partners and clinical consortia interested in DEE therapeutic development.</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All prior stage analyses and recommendations</w:t>
      </w:r>
    </w:p>
    <w:p>
      <w:pPr>
        <w:pStyle w:val="ListParagraph"/>
        <w:numPr>
          <w:ilvl w:val="0"/>
          <w:numId w:val="2"/>
        </w:numPr>
      </w:pPr>
      <w:r>
        <w:rPr>
          <w:rFonts w:ascii="Arial" w:cs="Arial" w:eastAsia="Arial" w:hAnsi="Arial"/>
          <w:sz w:val="24"/>
          <w:szCs w:val="24"/>
        </w:rPr>
        <w:t xml:space="preserve">Cluster characterizations and therapeutic strategies</w:t>
      </w:r>
    </w:p>
    <w:p>
      <w:pPr>
        <w:pStyle w:val="ListParagraph"/>
        <w:numPr>
          <w:ilvl w:val="0"/>
          <w:numId w:val="2"/>
        </w:numPr>
      </w:pPr>
      <w:r>
        <w:rPr>
          <w:rFonts w:ascii="Arial" w:cs="Arial" w:eastAsia="Arial" w:hAnsi="Arial"/>
          <w:sz w:val="24"/>
          <w:szCs w:val="24"/>
        </w:rPr>
        <w:t xml:space="preserve">Feasibility and market analysis results</w:t>
      </w:r>
    </w:p>
    <w:p>
      <w:pPr>
        <w:pStyle w:val="ListParagraph"/>
        <w:numPr>
          <w:ilvl w:val="0"/>
          <w:numId w:val="2"/>
        </w:numPr>
      </w:pPr>
      <w:r>
        <w:rPr>
          <w:rFonts w:ascii="Arial" w:cs="Arial" w:eastAsia="Arial" w:hAnsi="Arial"/>
          <w:sz w:val="24"/>
          <w:szCs w:val="24"/>
        </w:rPr>
        <w:t xml:space="preserve">Regulatory pathway options</w:t>
      </w:r>
    </w:p>
    <w:p>
      <w:pPr>
        <w:pStyle w:val="ListParagraph"/>
        <w:numPr>
          <w:ilvl w:val="0"/>
          <w:numId w:val="2"/>
        </w:numPr>
      </w:pPr>
      <w:r>
        <w:rPr>
          <w:rFonts w:ascii="Arial" w:cs="Arial" w:eastAsia="Arial" w:hAnsi="Arial"/>
          <w:sz w:val="24"/>
          <w:szCs w:val="24"/>
        </w:rPr>
        <w:t xml:space="preserve">Scientific literature synthesis</w:t>
      </w:r>
    </w:p>
    <w:p>
      <w:pPr>
        <w:pStyle w:val="ListParagraph"/>
        <w:numPr>
          <w:ilvl w:val="0"/>
          <w:numId w:val="2"/>
        </w:numPr>
      </w:pPr>
      <w:r>
        <w:rPr>
          <w:rFonts w:ascii="Arial" w:cs="Arial" w:eastAsia="Arial" w:hAnsi="Arial"/>
          <w:sz w:val="24"/>
          <w:szCs w:val="24"/>
        </w:rPr>
        <w:t xml:space="preserve">Consortium input and consensus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Publication preparation software</w:t>
      </w:r>
    </w:p>
    <w:p>
      <w:pPr>
        <w:pStyle w:val="ListParagraph"/>
        <w:numPr>
          <w:ilvl w:val="0"/>
          <w:numId w:val="2"/>
        </w:numPr>
      </w:pPr>
      <w:r>
        <w:rPr>
          <w:rFonts w:ascii="Arial" w:cs="Arial" w:eastAsia="Arial" w:hAnsi="Arial"/>
          <w:sz w:val="24"/>
          <w:szCs w:val="24"/>
        </w:rPr>
        <w:t xml:space="preserve">Presentation creation tools</w:t>
      </w:r>
    </w:p>
    <w:p>
      <w:pPr>
        <w:pStyle w:val="ListParagraph"/>
        <w:numPr>
          <w:ilvl w:val="0"/>
          <w:numId w:val="2"/>
        </w:numPr>
      </w:pPr>
      <w:r>
        <w:rPr>
          <w:rFonts w:ascii="Arial" w:cs="Arial" w:eastAsia="Arial" w:hAnsi="Arial"/>
          <w:sz w:val="24"/>
          <w:szCs w:val="24"/>
        </w:rPr>
        <w:t xml:space="preserve">Roadmap development software</w:t>
      </w:r>
    </w:p>
    <w:p>
      <w:pPr>
        <w:pStyle w:val="ListParagraph"/>
        <w:numPr>
          <w:ilvl w:val="0"/>
          <w:numId w:val="2"/>
        </w:numPr>
      </w:pPr>
      <w:r>
        <w:rPr>
          <w:rFonts w:ascii="Arial" w:cs="Arial" w:eastAsia="Arial" w:hAnsi="Arial"/>
          <w:sz w:val="24"/>
          <w:szCs w:val="24"/>
        </w:rPr>
        <w:t xml:space="preserve">Regulatory submission templates</w:t>
      </w:r>
    </w:p>
    <w:p>
      <w:pPr>
        <w:pStyle w:val="ListParagraph"/>
        <w:numPr>
          <w:ilvl w:val="0"/>
          <w:numId w:val="2"/>
        </w:numPr>
      </w:pPr>
      <w:r>
        <w:rPr>
          <w:rFonts w:ascii="Arial" w:cs="Arial" w:eastAsia="Arial" w:hAnsi="Arial"/>
          <w:sz w:val="24"/>
          <w:szCs w:val="24"/>
        </w:rPr>
        <w:t xml:space="preserve">Clinical partner collaboration platforms</w:t>
      </w:r>
    </w:p>
    <w:p>
      <w:pPr>
        <w:pStyle w:val="ListParagraph"/>
        <w:numPr>
          <w:ilvl w:val="0"/>
          <w:numId w:val="2"/>
        </w:numPr>
      </w:pPr>
      <w:r>
        <w:rPr>
          <w:rFonts w:ascii="Arial" w:cs="Arial" w:eastAsia="Arial" w:hAnsi="Arial"/>
          <w:sz w:val="24"/>
          <w:szCs w:val="24"/>
        </w:rPr>
        <w:t xml:space="preserve">Scientific review and consensus tools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is the recommended therapeutic development priority ranking across all clusters?</w:t>
      </w:r>
    </w:p>
    <w:p>
      <w:pPr>
        <w:pStyle w:val="ListParagraph"/>
        <w:numPr>
          <w:ilvl w:val="0"/>
          <w:numId w:val="2"/>
        </w:numPr>
      </w:pPr>
      <w:r>
        <w:rPr>
          <w:rFonts w:ascii="Arial" w:cs="Arial" w:eastAsia="Arial" w:hAnsi="Arial"/>
          <w:i/>
          <w:iCs/>
          <w:sz w:val="24"/>
          <w:szCs w:val="24"/>
        </w:rPr>
        <w:t xml:space="preserve">How should precision medicine and mechanism-based approaches be integrated into a comprehensive strategy?</w:t>
      </w:r>
    </w:p>
    <w:p>
      <w:pPr>
        <w:pStyle w:val="ListParagraph"/>
        <w:numPr>
          <w:ilvl w:val="0"/>
          <w:numId w:val="2"/>
        </w:numPr>
      </w:pPr>
      <w:r>
        <w:rPr>
          <w:rFonts w:ascii="Arial" w:cs="Arial" w:eastAsia="Arial" w:hAnsi="Arial"/>
          <w:i/>
          <w:iCs/>
          <w:sz w:val="24"/>
          <w:szCs w:val="24"/>
        </w:rPr>
        <w:t xml:space="preserve">What are the key milestones and partnerships needed for successful clinical translation?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therapeutic strategy recommendation document</w:t>
      </w:r>
    </w:p>
    <w:p>
      <w:pPr>
        <w:pStyle w:val="ListParagraph"/>
        <w:numPr>
          <w:ilvl w:val="0"/>
          <w:numId w:val="2"/>
        </w:numPr>
      </w:pPr>
      <w:r>
        <w:rPr>
          <w:rFonts w:ascii="Arial" w:cs="Arial" w:eastAsia="Arial" w:hAnsi="Arial"/>
          <w:sz w:val="24"/>
          <w:szCs w:val="24"/>
        </w:rPr>
        <w:t xml:space="preserve">Prioritized development roadmap (5-10 year horizon)</w:t>
      </w:r>
    </w:p>
    <w:p>
      <w:pPr>
        <w:pStyle w:val="ListParagraph"/>
        <w:numPr>
          <w:ilvl w:val="0"/>
          <w:numId w:val="2"/>
        </w:numPr>
      </w:pPr>
      <w:r>
        <w:rPr>
          <w:rFonts w:ascii="Arial" w:cs="Arial" w:eastAsia="Arial" w:hAnsi="Arial"/>
          <w:sz w:val="24"/>
          <w:szCs w:val="24"/>
        </w:rPr>
        <w:t xml:space="preserve">Cluster-specific therapeutic specifications</w:t>
      </w:r>
    </w:p>
    <w:p>
      <w:pPr>
        <w:pStyle w:val="ListParagraph"/>
        <w:numPr>
          <w:ilvl w:val="0"/>
          <w:numId w:val="2"/>
        </w:numPr>
      </w:pPr>
      <w:r>
        <w:rPr>
          <w:rFonts w:ascii="Arial" w:cs="Arial" w:eastAsia="Arial" w:hAnsi="Arial"/>
          <w:sz w:val="24"/>
          <w:szCs w:val="24"/>
        </w:rPr>
        <w:t xml:space="preserve">Regulatory and commercialization strategy</w:t>
      </w:r>
    </w:p>
    <w:p>
      <w:pPr>
        <w:pStyle w:val="ListParagraph"/>
        <w:numPr>
          <w:ilvl w:val="0"/>
          <w:numId w:val="2"/>
        </w:numPr>
      </w:pPr>
      <w:r>
        <w:rPr>
          <w:rFonts w:ascii="Arial" w:cs="Arial" w:eastAsia="Arial" w:hAnsi="Arial"/>
          <w:sz w:val="24"/>
          <w:szCs w:val="24"/>
        </w:rPr>
        <w:t xml:space="preserve">Scientific publication and presentation materials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Strategic guidance document (50+ pages PDF) with roadmap visualization, detailed cluster strategies, and regulatory specifications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Cytoscape network visualization and analysis</w:t>
      </w:r>
    </w:p>
    <w:p>
      <w:pPr>
        <w:pStyle w:val="ListParagraph"/>
        <w:numPr>
          <w:ilvl w:val="0"/>
          <w:numId w:val="2"/>
        </w:numPr>
      </w:pPr>
      <w:r>
        <w:rPr>
          <w:rFonts w:ascii="Arial" w:cs="Arial" w:eastAsia="Arial" w:hAnsi="Arial"/>
          <w:sz w:val="24"/>
          <w:szCs w:val="24"/>
        </w:rPr>
        <w:t xml:space="preserve">KEGG pathway database mapping</w:t>
      </w:r>
    </w:p>
    <w:p>
      <w:pPr>
        <w:pStyle w:val="ListParagraph"/>
        <w:numPr>
          <w:ilvl w:val="0"/>
          <w:numId w:val="2"/>
        </w:numPr>
      </w:pPr>
      <w:r>
        <w:rPr>
          <w:rFonts w:ascii="Arial" w:cs="Arial" w:eastAsia="Arial" w:hAnsi="Arial"/>
          <w:sz w:val="24"/>
          <w:szCs w:val="24"/>
        </w:rPr>
        <w:t xml:space="preserve">Reactome pathway analysis and visualization</w:t>
      </w:r>
    </w:p>
    <w:p>
      <w:pPr>
        <w:pStyle w:val="ListParagraph"/>
        <w:numPr>
          <w:ilvl w:val="0"/>
          <w:numId w:val="2"/>
        </w:numPr>
      </w:pPr>
      <w:r>
        <w:rPr>
          <w:rFonts w:ascii="Arial" w:cs="Arial" w:eastAsia="Arial" w:hAnsi="Arial"/>
          <w:sz w:val="24"/>
          <w:szCs w:val="24"/>
        </w:rPr>
        <w:t xml:space="preserve">StringDB protein interaction database</w:t>
      </w:r>
    </w:p>
    <w:p>
      <w:pPr>
        <w:pStyle w:val="ListParagraph"/>
        <w:numPr>
          <w:ilvl w:val="0"/>
          <w:numId w:val="2"/>
        </w:numPr>
      </w:pPr>
      <w:r>
        <w:rPr>
          <w:rFonts w:ascii="Arial" w:cs="Arial" w:eastAsia="Arial" w:hAnsi="Arial"/>
          <w:sz w:val="24"/>
          <w:szCs w:val="24"/>
        </w:rPr>
        <w:t xml:space="preserve">RegulomeDB transcription factor predictions</w:t>
      </w:r>
    </w:p>
    <w:p>
      <w:pPr>
        <w:pStyle w:val="ListParagraph"/>
        <w:numPr>
          <w:ilvl w:val="0"/>
          <w:numId w:val="2"/>
        </w:numPr>
      </w:pPr>
      <w:r>
        <w:rPr>
          <w:rFonts w:ascii="Arial" w:cs="Arial" w:eastAsia="Arial" w:hAnsi="Arial"/>
          <w:sz w:val="24"/>
          <w:szCs w:val="24"/>
        </w:rPr>
        <w:t xml:space="preserve">JASPAR transcription factor binding motifs</w:t>
      </w:r>
    </w:p>
    <w:p>
      <w:pPr>
        <w:pStyle w:val="ListParagraph"/>
        <w:numPr>
          <w:ilvl w:val="0"/>
          <w:numId w:val="2"/>
        </w:numPr>
      </w:pPr>
      <w:r>
        <w:rPr>
          <w:rFonts w:ascii="Arial" w:cs="Arial" w:eastAsia="Arial" w:hAnsi="Arial"/>
          <w:sz w:val="24"/>
          <w:szCs w:val="24"/>
        </w:rPr>
        <w:t xml:space="preserve">DGIdb drug-gene interaction database</w:t>
      </w:r>
    </w:p>
    <w:p>
      <w:pPr>
        <w:pStyle w:val="ListParagraph"/>
        <w:numPr>
          <w:ilvl w:val="0"/>
          <w:numId w:val="2"/>
        </w:numPr>
      </w:pPr>
      <w:r>
        <w:rPr>
          <w:rFonts w:ascii="Arial" w:cs="Arial" w:eastAsia="Arial" w:hAnsi="Arial"/>
          <w:sz w:val="24"/>
          <w:szCs w:val="24"/>
        </w:rPr>
        <w:t xml:space="preserve">Therapeutic Target Database (TTD)</w:t>
      </w:r>
    </w:p>
    <w:p>
      <w:pPr>
        <w:pStyle w:val="ListParagraph"/>
        <w:numPr>
          <w:ilvl w:val="0"/>
          <w:numId w:val="2"/>
        </w:numPr>
      </w:pPr>
      <w:r>
        <w:rPr>
          <w:rFonts w:ascii="Arial" w:cs="Arial" w:eastAsia="Arial" w:hAnsi="Arial"/>
          <w:sz w:val="24"/>
          <w:szCs w:val="24"/>
        </w:rPr>
        <w:t xml:space="preserve">DrugBank compound and drug database</w:t>
      </w:r>
    </w:p>
    <w:p>
      <w:pPr>
        <w:pStyle w:val="ListParagraph"/>
        <w:numPr>
          <w:ilvl w:val="0"/>
          <w:numId w:val="2"/>
        </w:numPr>
      </w:pPr>
      <w:r>
        <w:rPr>
          <w:rFonts w:ascii="Arial" w:cs="Arial" w:eastAsia="Arial" w:hAnsi="Arial"/>
          <w:sz w:val="24"/>
          <w:szCs w:val="24"/>
        </w:rPr>
        <w:t xml:space="preserve">PubChem chemical structure database</w:t>
      </w:r>
    </w:p>
    <w:p>
      <w:pPr>
        <w:pStyle w:val="ListParagraph"/>
        <w:numPr>
          <w:ilvl w:val="0"/>
          <w:numId w:val="2"/>
        </w:numPr>
      </w:pPr>
      <w:r>
        <w:rPr>
          <w:rFonts w:ascii="Arial" w:cs="Arial" w:eastAsia="Arial" w:hAnsi="Arial"/>
          <w:sz w:val="24"/>
          <w:szCs w:val="24"/>
        </w:rPr>
        <w:t xml:space="preserve">ChEMBL chemical genomics data</w:t>
      </w:r>
    </w:p>
    <w:p>
      <w:pPr>
        <w:pStyle w:val="ListParagraph"/>
        <w:numPr>
          <w:ilvl w:val="0"/>
          <w:numId w:val="2"/>
        </w:numPr>
      </w:pPr>
      <w:r>
        <w:rPr>
          <w:rFonts w:ascii="Arial" w:cs="Arial" w:eastAsia="Arial" w:hAnsi="Arial"/>
          <w:sz w:val="24"/>
          <w:szCs w:val="24"/>
        </w:rPr>
        <w:t xml:space="preserve">FDA Orange Book approved drugs database</w:t>
      </w:r>
    </w:p>
    <w:p>
      <w:pPr>
        <w:pStyle w:val="ListParagraph"/>
        <w:numPr>
          <w:ilvl w:val="0"/>
          <w:numId w:val="2"/>
        </w:numPr>
      </w:pPr>
      <w:r>
        <w:rPr>
          <w:rFonts w:ascii="Arial" w:cs="Arial" w:eastAsia="Arial" w:hAnsi="Arial"/>
          <w:sz w:val="24"/>
          <w:szCs w:val="24"/>
        </w:rPr>
        <w:t xml:space="preserve">Mechanism-of-action ontology (Bioplanet)</w:t>
      </w:r>
    </w:p>
    <w:p>
      <w:pPr>
        <w:pStyle w:val="ListParagraph"/>
        <w:numPr>
          <w:ilvl w:val="0"/>
          <w:numId w:val="2"/>
        </w:numPr>
      </w:pPr>
      <w:r>
        <w:rPr>
          <w:rFonts w:ascii="Arial" w:cs="Arial" w:eastAsia="Arial" w:hAnsi="Arial"/>
          <w:sz w:val="24"/>
          <w:szCs w:val="24"/>
        </w:rPr>
        <w:t xml:space="preserve">Drug repurposing prediction algorithms</w:t>
      </w:r>
    </w:p>
    <w:p>
      <w:pPr>
        <w:pStyle w:val="ListParagraph"/>
        <w:numPr>
          <w:ilvl w:val="0"/>
          <w:numId w:val="2"/>
        </w:numPr>
      </w:pPr>
      <w:r>
        <w:rPr>
          <w:rFonts w:ascii="Arial" w:cs="Arial" w:eastAsia="Arial" w:hAnsi="Arial"/>
          <w:sz w:val="24"/>
          <w:szCs w:val="24"/>
        </w:rPr>
        <w:t xml:space="preserve">Basket trial statistical frameworks</w:t>
      </w:r>
    </w:p>
    <w:p>
      <w:pPr>
        <w:pStyle w:val="ListParagraph"/>
        <w:numPr>
          <w:ilvl w:val="0"/>
          <w:numId w:val="2"/>
        </w:numPr>
      </w:pPr>
      <w:r>
        <w:rPr>
          <w:rFonts w:ascii="Arial" w:cs="Arial" w:eastAsia="Arial" w:hAnsi="Arial"/>
          <w:sz w:val="24"/>
          <w:szCs w:val="24"/>
        </w:rPr>
        <w:t xml:space="preserve">Umbrella trial protocol templates</w:t>
      </w:r>
    </w:p>
    <w:p>
      <w:pPr>
        <w:pStyle w:val="ListParagraph"/>
        <w:numPr>
          <w:ilvl w:val="0"/>
          <w:numId w:val="2"/>
        </w:numPr>
      </w:pPr>
      <w:r>
        <w:rPr>
          <w:rFonts w:ascii="Arial" w:cs="Arial" w:eastAsia="Arial" w:hAnsi="Arial"/>
          <w:sz w:val="24"/>
          <w:szCs w:val="24"/>
        </w:rPr>
        <w:t xml:space="preserve">Adaptive design software (EAST, ADDPLAN)</w:t>
      </w:r>
    </w:p>
    <w:p>
      <w:pPr>
        <w:pStyle w:val="ListParagraph"/>
        <w:numPr>
          <w:ilvl w:val="0"/>
          <w:numId w:val="2"/>
        </w:numPr>
      </w:pPr>
      <w:r>
        <w:rPr>
          <w:rFonts w:ascii="Arial" w:cs="Arial" w:eastAsia="Arial" w:hAnsi="Arial"/>
          <w:sz w:val="24"/>
          <w:szCs w:val="24"/>
        </w:rPr>
        <w:t xml:space="preserve">Sample size calculators for rare diseases</w:t>
      </w:r>
    </w:p>
    <w:p>
      <w:pPr>
        <w:pStyle w:val="ListParagraph"/>
        <w:numPr>
          <w:ilvl w:val="0"/>
          <w:numId w:val="2"/>
        </w:numPr>
      </w:pPr>
      <w:r>
        <w:rPr>
          <w:rFonts w:ascii="Arial" w:cs="Arial" w:eastAsia="Arial" w:hAnsi="Arial"/>
          <w:sz w:val="24"/>
          <w:szCs w:val="24"/>
        </w:rPr>
        <w:t xml:space="preserve">Rare disease patient registry data</w:t>
      </w:r>
    </w:p>
    <w:p>
      <w:pPr>
        <w:pStyle w:val="ListParagraph"/>
        <w:numPr>
          <w:ilvl w:val="0"/>
          <w:numId w:val="2"/>
        </w:numPr>
      </w:pPr>
      <w:r>
        <w:rPr>
          <w:rFonts w:ascii="Arial" w:cs="Arial" w:eastAsia="Arial" w:hAnsi="Arial"/>
          <w:sz w:val="24"/>
          <w:szCs w:val="24"/>
        </w:rPr>
        <w:t xml:space="preserve">FDA breakthrough therapy guidance</w:t>
      </w:r>
    </w:p>
    <w:p>
      <w:pPr>
        <w:pStyle w:val="ListParagraph"/>
        <w:numPr>
          <w:ilvl w:val="0"/>
          <w:numId w:val="2"/>
        </w:numPr>
      </w:pPr>
      <w:r>
        <w:rPr>
          <w:rFonts w:ascii="Arial" w:cs="Arial" w:eastAsia="Arial" w:hAnsi="Arial"/>
          <w:sz w:val="24"/>
          <w:szCs w:val="24"/>
        </w:rPr>
        <w:t xml:space="preserve">Orphan drug designation criteria</w:t>
      </w:r>
    </w:p>
    <w:p>
      <w:pPr>
        <w:pStyle w:val="ListParagraph"/>
        <w:numPr>
          <w:ilvl w:val="0"/>
          <w:numId w:val="2"/>
        </w:numPr>
      </w:pPr>
      <w:r>
        <w:rPr>
          <w:rFonts w:ascii="Arial" w:cs="Arial" w:eastAsia="Arial" w:hAnsi="Arial"/>
          <w:sz w:val="24"/>
          <w:szCs w:val="24"/>
        </w:rPr>
        <w:t xml:space="preserve">Market research databases (IBISWorld)</w:t>
      </w:r>
    </w:p>
    <w:p>
      <w:pPr>
        <w:pStyle w:val="ListParagraph"/>
        <w:numPr>
          <w:ilvl w:val="0"/>
          <w:numId w:val="2"/>
        </w:numPr>
      </w:pPr>
      <w:r>
        <w:rPr>
          <w:rFonts w:ascii="Arial" w:cs="Arial" w:eastAsia="Arial" w:hAnsi="Arial"/>
          <w:sz w:val="24"/>
          <w:szCs w:val="24"/>
        </w:rPr>
        <w:t xml:space="preserve">CPT and ICD reimbursement code databases</w:t>
      </w:r>
    </w:p>
    <w:p>
      <w:pPr>
        <w:pStyle w:val="ListParagraph"/>
        <w:numPr>
          <w:ilvl w:val="0"/>
          <w:numId w:val="2"/>
        </w:numPr>
      </w:pPr>
      <w:r>
        <w:rPr>
          <w:rFonts w:ascii="Arial" w:cs="Arial" w:eastAsia="Arial" w:hAnsi="Arial"/>
          <w:sz w:val="24"/>
          <w:szCs w:val="24"/>
        </w:rPr>
        <w:t xml:space="preserve">USPTO patent search tools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2026-03-25T18:23:24.113Z</dcterms:created>
  <dcterms:modified xsi:type="dcterms:W3CDTF">2026-03-25T18:23:24.113Z</dcterms:modified>
</cp:coreProperties>
</file>

<file path=docProps/custom.xml><?xml version="1.0" encoding="utf-8"?>
<Properties xmlns="http://schemas.openxmlformats.org/officeDocument/2006/custom-properties" xmlns:vt="http://schemas.openxmlformats.org/officeDocument/2006/docPropsVTypes"/>
</file>